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ED" w:rsidRPr="005C27ED" w:rsidRDefault="005C27ED" w:rsidP="005C27ED">
      <w:pPr>
        <w:widowControl/>
        <w:overflowPunct w:val="0"/>
        <w:jc w:val="left"/>
        <w:rPr>
          <w:rFonts w:ascii="黑体" w:eastAsia="黑体" w:hAnsi="黑体" w:cs="宋体" w:hint="eastAsia"/>
          <w:b/>
          <w:bCs/>
          <w:kern w:val="0"/>
          <w:sz w:val="28"/>
          <w:szCs w:val="28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预（决）算模板        </w:t>
      </w:r>
      <w:r w:rsidRPr="005C27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</w:t>
      </w:r>
      <w:r w:rsidRPr="005C27ED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  </w:t>
      </w:r>
      <w:r w:rsidRPr="005C27ED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年度预算</w:t>
      </w:r>
    </w:p>
    <w:p w:rsidR="005C27ED" w:rsidRPr="005C27ED" w:rsidRDefault="005C27ED" w:rsidP="005C27ED">
      <w:pPr>
        <w:widowControl/>
        <w:overflowPunct w:val="0"/>
        <w:jc w:val="left"/>
        <w:rPr>
          <w:rFonts w:ascii="黑体" w:eastAsia="黑体" w:hAnsi="黑体" w:cs="宋体" w:hint="eastAsia"/>
          <w:bCs/>
          <w:kern w:val="0"/>
          <w:sz w:val="24"/>
          <w:szCs w:val="24"/>
        </w:rPr>
      </w:pPr>
      <w:r w:rsidRPr="005C27ED">
        <w:rPr>
          <w:rFonts w:ascii="黑体" w:eastAsia="黑体" w:hAnsi="黑体" w:cs="宋体" w:hint="eastAsia"/>
          <w:bCs/>
          <w:kern w:val="0"/>
          <w:sz w:val="24"/>
          <w:szCs w:val="24"/>
        </w:rPr>
        <w:t xml:space="preserve">编制单位：                                   </w:t>
      </w:r>
      <w:r w:rsidRPr="005C27ED">
        <w:rPr>
          <w:rFonts w:ascii="黑体" w:eastAsia="黑体" w:hAnsi="黑体" w:cs="Times New Roman" w:hint="eastAsia"/>
          <w:sz w:val="24"/>
          <w:szCs w:val="24"/>
        </w:rPr>
        <w:t xml:space="preserve">         年   月   日</w:t>
      </w:r>
      <w:r w:rsidRPr="005C27ED">
        <w:rPr>
          <w:rFonts w:ascii="黑体" w:eastAsia="黑体" w:hAnsi="黑体" w:cs="宋体" w:hint="eastAsia"/>
          <w:bCs/>
          <w:kern w:val="0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  <w:tblGridChange w:id="0">
          <w:tblGrid>
            <w:gridCol w:w="2840"/>
            <w:gridCol w:w="2841"/>
            <w:gridCol w:w="2841"/>
          </w:tblGrid>
        </w:tblGridChange>
      </w:tblGrid>
      <w:tr w:rsidR="005C27ED" w:rsidRPr="005C27ED" w:rsidTr="00681063"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预算（元）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D9D9D9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收入</w:t>
            </w: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会费收入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ind w:firstLineChars="100" w:firstLine="24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单位会员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ind w:firstLineChars="100" w:firstLine="24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个人会员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其他收入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会议收入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D9D9D9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收入合计</w:t>
            </w: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D9D9D9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支出</w:t>
            </w: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业务活动成本</w:t>
            </w: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课题费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会议费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评审费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咨询费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讲课费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管理费</w:t>
            </w: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办公费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交通费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差旅费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电话费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邮寄费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固定资产</w:t>
            </w: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设备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家具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D9D9D9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</w:tr>
    </w:tbl>
    <w:p w:rsidR="005C27ED" w:rsidRPr="005C27ED" w:rsidRDefault="005C27ED" w:rsidP="005C27ED">
      <w:pPr>
        <w:widowControl/>
        <w:overflowPunct w:val="0"/>
        <w:spacing w:beforeLines="50" w:before="156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备注：</w:t>
      </w: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1、</w:t>
      </w:r>
      <w:r w:rsidRPr="005C27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年度预算金额</w:t>
      </w: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根据</w:t>
      </w:r>
      <w:r w:rsidRPr="005C27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上一年度决算</w:t>
      </w: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，并结合</w:t>
      </w:r>
      <w:r w:rsidRPr="005C27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本年实际情况</w:t>
      </w: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填写；</w:t>
      </w: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2、会费收入请相关部门填写，没有可不填；</w:t>
      </w: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3、办公费主要包括：办公用的书籍、报刊、办公用品、饮水、计算机耗材、信函、复印、打字、计算机修理等费用。</w:t>
      </w: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/>
          <w:bCs/>
          <w:kern w:val="0"/>
          <w:sz w:val="24"/>
          <w:szCs w:val="24"/>
        </w:rPr>
        <w:br w:type="page"/>
      </w:r>
      <w:r w:rsidRPr="005C27ED">
        <w:rPr>
          <w:rFonts w:ascii="宋体" w:eastAsia="宋体" w:hAnsi="宋体" w:cs="宋体" w:hint="eastAsia"/>
          <w:bCs/>
          <w:kern w:val="0"/>
          <w:szCs w:val="21"/>
        </w:rPr>
        <w:lastRenderedPageBreak/>
        <w:t xml:space="preserve"> </w:t>
      </w: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预（决）算模板                   </w:t>
      </w:r>
      <w:r w:rsidRPr="005C27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</w:t>
      </w:r>
    </w:p>
    <w:p w:rsidR="005C27ED" w:rsidRPr="005C27ED" w:rsidRDefault="005C27ED" w:rsidP="005C27ED">
      <w:pPr>
        <w:widowControl/>
        <w:overflowPunct w:val="0"/>
        <w:jc w:val="center"/>
        <w:rPr>
          <w:rFonts w:ascii="黑体" w:eastAsia="黑体" w:hAnsi="黑体" w:cs="宋体" w:hint="eastAsia"/>
          <w:b/>
          <w:bCs/>
          <w:kern w:val="0"/>
          <w:sz w:val="28"/>
          <w:szCs w:val="28"/>
        </w:rPr>
      </w:pPr>
      <w:r w:rsidRPr="005C27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</w:t>
      </w:r>
      <w:r w:rsidRPr="005C27ED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  </w:t>
      </w:r>
      <w:r w:rsidRPr="005C27ED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年度决算</w:t>
      </w:r>
      <w:r w:rsidRPr="005C27ED">
        <w:rPr>
          <w:rFonts w:ascii="黑体" w:eastAsia="黑体" w:hAnsi="黑体" w:cs="宋体" w:hint="eastAsia"/>
          <w:bCs/>
          <w:kern w:val="0"/>
          <w:sz w:val="28"/>
          <w:szCs w:val="28"/>
        </w:rPr>
        <w:t>（表1.）</w:t>
      </w:r>
    </w:p>
    <w:p w:rsidR="005C27ED" w:rsidRPr="005C27ED" w:rsidRDefault="005C27ED" w:rsidP="005C27ED">
      <w:pPr>
        <w:widowControl/>
        <w:overflowPunct w:val="0"/>
        <w:jc w:val="left"/>
        <w:rPr>
          <w:rFonts w:ascii="黑体" w:eastAsia="黑体" w:hAnsi="黑体" w:cs="宋体" w:hint="eastAsia"/>
          <w:bCs/>
          <w:kern w:val="0"/>
          <w:sz w:val="24"/>
          <w:szCs w:val="24"/>
        </w:rPr>
      </w:pPr>
      <w:r w:rsidRPr="005C27ED">
        <w:rPr>
          <w:rFonts w:ascii="黑体" w:eastAsia="黑体" w:hAnsi="黑体" w:cs="宋体" w:hint="eastAsia"/>
          <w:bCs/>
          <w:kern w:val="0"/>
          <w:sz w:val="24"/>
          <w:szCs w:val="24"/>
        </w:rPr>
        <w:t xml:space="preserve">编制单位：                                 </w:t>
      </w:r>
      <w:r w:rsidRPr="005C27ED">
        <w:rPr>
          <w:rFonts w:ascii="黑体" w:eastAsia="黑体" w:hAnsi="黑体" w:cs="Times New Roman" w:hint="eastAsia"/>
          <w:sz w:val="24"/>
          <w:szCs w:val="24"/>
        </w:rPr>
        <w:t xml:space="preserve">         年   月   日</w:t>
      </w:r>
      <w:r w:rsidRPr="005C27ED">
        <w:rPr>
          <w:rFonts w:ascii="黑体" w:eastAsia="黑体" w:hAnsi="黑体" w:cs="宋体" w:hint="eastAsia"/>
          <w:bCs/>
          <w:kern w:val="0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  <w:tblGridChange w:id="1">
          <w:tblGrid>
            <w:gridCol w:w="2840"/>
            <w:gridCol w:w="2841"/>
            <w:gridCol w:w="2841"/>
          </w:tblGrid>
        </w:tblGridChange>
      </w:tblGrid>
      <w:tr w:rsidR="005C27ED" w:rsidRPr="005C27ED" w:rsidTr="00681063"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预算（元）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决算（元）</w:t>
            </w: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D9D9D9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收入</w:t>
            </w: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会费收入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ind w:firstLineChars="150" w:firstLine="36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单位会员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ind w:firstLineChars="150" w:firstLine="36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个人会员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其他收入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会议收入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D9D9D9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收入合计</w:t>
            </w: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D9D9D9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支出</w:t>
            </w: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业务活动成本</w:t>
            </w: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课题费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会议费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评审费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咨询费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讲课费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管理费</w:t>
            </w: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办公费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交通费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差旅费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电话费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邮寄费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固定资产</w:t>
            </w: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设备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2840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家具</w:t>
            </w: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c>
          <w:tcPr>
            <w:tcW w:w="8522" w:type="dxa"/>
            <w:gridSpan w:val="3"/>
            <w:shd w:val="clear" w:color="auto" w:fill="D9D9D9"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</w:tr>
    </w:tbl>
    <w:p w:rsidR="005C27ED" w:rsidRPr="005C27ED" w:rsidRDefault="005C27ED" w:rsidP="005C27ED">
      <w:pPr>
        <w:widowControl/>
        <w:overflowPunct w:val="0"/>
        <w:spacing w:beforeLines="50" w:before="156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备注：</w:t>
      </w: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1、会费收入请相关业务部门填写，没有可不填；</w:t>
      </w: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2、请办公费主要包括：办公用的书籍、报刊、办公用品、饮水、计算机耗材、信函、复印、打字、计算机修理等费用；</w:t>
      </w:r>
    </w:p>
    <w:p w:rsidR="005C27ED" w:rsidRDefault="005C27ED" w:rsidP="005C27ED">
      <w:pPr>
        <w:widowControl/>
        <w:overflowPunct w:val="0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3、年度决算（表1.）填写完毕后，请填写年度决算（表2.），共两张表。</w:t>
      </w: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bookmarkStart w:id="2" w:name="_GoBack"/>
      <w:bookmarkEnd w:id="2"/>
      <w:r w:rsidRPr="005C27ED">
        <w:rPr>
          <w:rFonts w:ascii="宋体" w:eastAsia="宋体" w:hAnsi="宋体" w:cs="宋体"/>
          <w:bCs/>
          <w:kern w:val="0"/>
          <w:sz w:val="24"/>
          <w:szCs w:val="24"/>
        </w:rPr>
        <w:br w:type="page"/>
      </w: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预（决）算模板</w:t>
      </w:r>
    </w:p>
    <w:p w:rsidR="005C27ED" w:rsidRPr="005C27ED" w:rsidRDefault="005C27ED" w:rsidP="005C27ED">
      <w:pPr>
        <w:widowControl/>
        <w:overflowPunct w:val="0"/>
        <w:jc w:val="center"/>
        <w:rPr>
          <w:rFonts w:ascii="黑体" w:eastAsia="黑体" w:hAnsi="黑体" w:cs="宋体" w:hint="eastAsia"/>
          <w:b/>
          <w:bCs/>
          <w:kern w:val="0"/>
          <w:sz w:val="28"/>
          <w:szCs w:val="28"/>
        </w:rPr>
      </w:pPr>
      <w:r w:rsidRPr="005C27ED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 xml:space="preserve">         </w:t>
      </w:r>
      <w:r w:rsidRPr="005C27ED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年度决算</w:t>
      </w:r>
      <w:r w:rsidRPr="005C27ED">
        <w:rPr>
          <w:rFonts w:ascii="黑体" w:eastAsia="黑体" w:hAnsi="黑体" w:cs="宋体" w:hint="eastAsia"/>
          <w:bCs/>
          <w:kern w:val="0"/>
          <w:sz w:val="28"/>
          <w:szCs w:val="28"/>
        </w:rPr>
        <w:t>（表2.）</w:t>
      </w: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黑体" w:eastAsia="黑体" w:hAnsi="黑体" w:cs="宋体" w:hint="eastAsia"/>
          <w:bCs/>
          <w:kern w:val="0"/>
          <w:sz w:val="24"/>
          <w:szCs w:val="24"/>
        </w:rPr>
        <w:t>编制单位：</w:t>
      </w:r>
      <w:r w:rsidRPr="005C27ED">
        <w:rPr>
          <w:rFonts w:ascii="黑体" w:eastAsia="黑体" w:hAnsi="黑体" w:cs="Times New Roman" w:hint="eastAsia"/>
          <w:sz w:val="24"/>
          <w:szCs w:val="24"/>
        </w:rPr>
        <w:t xml:space="preserve">   </w:t>
      </w:r>
      <w:r w:rsidRPr="005C27ED">
        <w:rPr>
          <w:rFonts w:ascii="黑体" w:eastAsia="黑体" w:hAnsi="Times New Roman" w:cs="Times New Roman" w:hint="eastAsia"/>
          <w:sz w:val="28"/>
          <w:szCs w:val="28"/>
        </w:rPr>
        <w:t xml:space="preserve">                                   </w:t>
      </w:r>
      <w:r w:rsidRPr="005C27ED">
        <w:rPr>
          <w:rFonts w:ascii="黑体" w:eastAsia="黑体" w:hAnsi="Times New Roman" w:cs="Times New Roman" w:hint="eastAsia"/>
          <w:sz w:val="24"/>
          <w:szCs w:val="24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169"/>
        <w:tblGridChange w:id="3">
          <w:tblGrid>
            <w:gridCol w:w="5353"/>
            <w:gridCol w:w="3169"/>
          </w:tblGrid>
        </w:tblGridChange>
      </w:tblGrid>
      <w:tr w:rsidR="005C27ED" w:rsidRPr="005C27ED" w:rsidTr="00681063">
        <w:trPr>
          <w:trHeight w:val="731"/>
        </w:trPr>
        <w:tc>
          <w:tcPr>
            <w:tcW w:w="5353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业务活动内容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支出（元）</w:t>
            </w:r>
          </w:p>
        </w:tc>
      </w:tr>
      <w:tr w:rsidR="005C27ED" w:rsidRPr="005C27ED" w:rsidTr="00681063">
        <w:trPr>
          <w:trHeight w:val="678"/>
        </w:trPr>
        <w:tc>
          <w:tcPr>
            <w:tcW w:w="5353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1、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rPr>
          <w:trHeight w:val="640"/>
        </w:trPr>
        <w:tc>
          <w:tcPr>
            <w:tcW w:w="5353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2、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rPr>
          <w:trHeight w:val="626"/>
        </w:trPr>
        <w:tc>
          <w:tcPr>
            <w:tcW w:w="5353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3、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rPr>
          <w:trHeight w:val="692"/>
        </w:trPr>
        <w:tc>
          <w:tcPr>
            <w:tcW w:w="5353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4、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rPr>
          <w:trHeight w:val="702"/>
        </w:trPr>
        <w:tc>
          <w:tcPr>
            <w:tcW w:w="5353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5、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C27ED" w:rsidRPr="005C27ED" w:rsidTr="00681063">
        <w:trPr>
          <w:trHeight w:val="562"/>
        </w:trPr>
        <w:tc>
          <w:tcPr>
            <w:tcW w:w="5353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 w:rsidR="005C27ED" w:rsidRPr="005C27ED" w:rsidRDefault="005C27ED" w:rsidP="005C27ED">
      <w:pPr>
        <w:widowControl/>
        <w:overflowPunct w:val="0"/>
        <w:spacing w:beforeLines="50" w:before="156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备注：</w:t>
      </w: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1、年度决算（表2.）是年度决算（表1.）的辅助报表，填写具体业务活动和相关支出；</w:t>
      </w: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2、开展业务活动产生的评审费、专家咨询费、人工费、办公费、交通费等，</w:t>
      </w:r>
      <w:r w:rsidRPr="005C27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按实际情况分摊计入相关业务活动支出总额</w:t>
      </w: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，不单独填列；</w:t>
      </w:r>
    </w:p>
    <w:p w:rsidR="005C27ED" w:rsidRPr="005C27ED" w:rsidRDefault="005C27ED" w:rsidP="005C27ED">
      <w:pPr>
        <w:widowControl/>
        <w:overflowPunct w:val="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3、业务活动内容包括与研究生教育活动相关的各项活动支出，</w:t>
      </w:r>
      <w:r w:rsidRPr="005C27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同一项业务活动可汇总</w:t>
      </w:r>
      <w:r w:rsidRPr="005C27ED">
        <w:rPr>
          <w:rFonts w:ascii="宋体" w:eastAsia="宋体" w:hAnsi="宋体" w:cs="宋体" w:hint="eastAsia"/>
          <w:bCs/>
          <w:kern w:val="0"/>
          <w:sz w:val="24"/>
          <w:szCs w:val="24"/>
        </w:rPr>
        <w:t>填写，见参考样本。</w:t>
      </w:r>
    </w:p>
    <w:p w:rsidR="005C27ED" w:rsidRPr="005C27ED" w:rsidRDefault="005C27ED" w:rsidP="005C27ED">
      <w:pPr>
        <w:widowControl/>
        <w:overflowPunct w:val="0"/>
        <w:spacing w:beforeLines="100" w:before="312"/>
        <w:jc w:val="left"/>
        <w:rPr>
          <w:rFonts w:ascii="宋体" w:eastAsia="宋体" w:hAnsi="宋体" w:cs="宋体" w:hint="eastAsia"/>
          <w:bCs/>
          <w:i/>
          <w:kern w:val="0"/>
          <w:sz w:val="24"/>
          <w:szCs w:val="24"/>
          <w:u w:val="single"/>
        </w:rPr>
      </w:pPr>
      <w:r w:rsidRPr="005C27ED">
        <w:rPr>
          <w:rFonts w:ascii="宋体" w:eastAsia="宋体" w:hAnsi="宋体" w:cs="宋体" w:hint="eastAsia"/>
          <w:bCs/>
          <w:i/>
          <w:kern w:val="0"/>
          <w:sz w:val="24"/>
          <w:szCs w:val="24"/>
          <w:u w:val="single"/>
        </w:rPr>
        <w:t>参考样本：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169"/>
        <w:tblGridChange w:id="4">
          <w:tblGrid>
            <w:gridCol w:w="5353"/>
            <w:gridCol w:w="3169"/>
          </w:tblGrid>
        </w:tblGridChange>
      </w:tblGrid>
      <w:tr w:rsidR="005C27ED" w:rsidRPr="005C27ED" w:rsidTr="00681063">
        <w:trPr>
          <w:trHeight w:val="731"/>
        </w:trPr>
        <w:tc>
          <w:tcPr>
            <w:tcW w:w="5353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业务活动内容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支出（元）</w:t>
            </w:r>
          </w:p>
        </w:tc>
      </w:tr>
      <w:tr w:rsidR="005C27ED" w:rsidRPr="005C27ED" w:rsidTr="00681063">
        <w:trPr>
          <w:trHeight w:val="678"/>
        </w:trPr>
        <w:tc>
          <w:tcPr>
            <w:tcW w:w="5353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1、开展2019年全国**专业学位研究生教育重大、重点及自选研究课题，包括：通知发布、课题评审、课题研究成果的汇编及出版等。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**</w:t>
            </w:r>
          </w:p>
        </w:tc>
      </w:tr>
      <w:tr w:rsidR="005C27ED" w:rsidRPr="005C27ED" w:rsidTr="00681063">
        <w:trPr>
          <w:trHeight w:val="640"/>
        </w:trPr>
        <w:tc>
          <w:tcPr>
            <w:tcW w:w="5353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2、**专业学位类别调整优化工作的发布与实施，包括：文件发布、政策宣讲、会议讨论、专业学位类别建设等。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**</w:t>
            </w:r>
          </w:p>
        </w:tc>
      </w:tr>
      <w:tr w:rsidR="005C27ED" w:rsidRPr="005C27ED" w:rsidTr="00681063">
        <w:trPr>
          <w:trHeight w:val="562"/>
        </w:trPr>
        <w:tc>
          <w:tcPr>
            <w:tcW w:w="5353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:rsidR="005C27ED" w:rsidRPr="005C27ED" w:rsidRDefault="005C27ED" w:rsidP="005C27ED">
            <w:pPr>
              <w:widowControl/>
              <w:overflowPunct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C27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**</w:t>
            </w:r>
          </w:p>
        </w:tc>
      </w:tr>
    </w:tbl>
    <w:p w:rsidR="005C27ED" w:rsidRPr="005C27ED" w:rsidRDefault="005C27ED" w:rsidP="005C27ED">
      <w:pPr>
        <w:widowControl/>
        <w:overflowPunct w:val="0"/>
        <w:ind w:firstLineChars="100" w:firstLine="24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p w:rsidR="009D1878" w:rsidRDefault="009D1878"/>
    <w:sectPr w:rsidR="009D187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33" w:rsidRDefault="00680638" w:rsidP="00181B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80638">
      <w:rPr>
        <w:noProof/>
        <w:lang w:val="zh-CN"/>
      </w:rPr>
      <w:t>1</w:t>
    </w:r>
    <w:r>
      <w:fldChar w:fldCharType="end"/>
    </w:r>
  </w:p>
  <w:p w:rsidR="00235D33" w:rsidRDefault="0068063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ED"/>
    <w:rsid w:val="005C27ED"/>
    <w:rsid w:val="00680638"/>
    <w:rsid w:val="009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27E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27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27E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27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2018-12-14T09:11:00Z</dcterms:created>
  <dcterms:modified xsi:type="dcterms:W3CDTF">2018-12-14T09:19:00Z</dcterms:modified>
</cp:coreProperties>
</file>