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/>
          <w:bCs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Times New Roman"/>
          <w:bCs/>
          <w:color w:val="000000"/>
          <w:kern w:val="0"/>
          <w:sz w:val="24"/>
          <w:szCs w:val="24"/>
        </w:rPr>
        <w:t>附件</w:t>
      </w:r>
      <w:bookmarkStart w:id="0" w:name="_GoBack"/>
      <w:bookmarkEnd w:id="0"/>
    </w:p>
    <w:p>
      <w:pPr>
        <w:widowControl/>
        <w:spacing w:line="560" w:lineRule="exact"/>
        <w:jc w:val="center"/>
        <w:rPr>
          <w:rFonts w:ascii="方正小标宋简体" w:hAnsi="Times New Roman" w:eastAsia="方正小标宋简体" w:cs="Times New Roman"/>
          <w:bCs/>
          <w:color w:val="000000"/>
          <w:kern w:val="0"/>
          <w:sz w:val="40"/>
          <w:szCs w:val="40"/>
        </w:rPr>
      </w:pPr>
      <w:r>
        <w:rPr>
          <w:rFonts w:hint="eastAsia" w:ascii="方正小标宋简体" w:hAnsi="Times New Roman" w:eastAsia="方正小标宋简体" w:cs="Times New Roman"/>
          <w:bCs/>
          <w:color w:val="000000"/>
          <w:kern w:val="0"/>
          <w:sz w:val="40"/>
          <w:szCs w:val="40"/>
        </w:rPr>
        <w:t>工程硕士、博士专业学位授权点对应调整名单</w:t>
      </w:r>
    </w:p>
    <w:p>
      <w:pPr>
        <w:widowControl/>
        <w:spacing w:line="560" w:lineRule="exact"/>
        <w:jc w:val="center"/>
        <w:rPr>
          <w:rFonts w:ascii="方正小标宋简体" w:hAnsi="Times New Roman" w:eastAsia="方正小标宋简体" w:cs="Times New Roman"/>
          <w:bCs/>
          <w:color w:val="000000"/>
          <w:kern w:val="0"/>
          <w:sz w:val="40"/>
          <w:szCs w:val="40"/>
        </w:rPr>
      </w:pPr>
    </w:p>
    <w:p>
      <w:pPr>
        <w:widowControl/>
        <w:spacing w:line="560" w:lineRule="exact"/>
        <w:jc w:val="center"/>
        <w:rPr>
          <w:rFonts w:ascii="Times New Roman" w:hAnsi="Times New Roman" w:eastAsia="黑体" w:cs="Times New Roman"/>
          <w:bCs/>
          <w:color w:val="000000"/>
          <w:kern w:val="0"/>
          <w:sz w:val="36"/>
          <w:szCs w:val="36"/>
        </w:rPr>
      </w:pPr>
      <w:r>
        <w:rPr>
          <w:rFonts w:ascii="Times New Roman" w:hAnsi="黑体" w:eastAsia="黑体" w:cs="Times New Roman"/>
          <w:bCs/>
          <w:color w:val="000000"/>
          <w:kern w:val="0"/>
          <w:sz w:val="36"/>
          <w:szCs w:val="36"/>
        </w:rPr>
        <w:t>工程硕士专业学位授权点对应调整名单</w:t>
      </w:r>
    </w:p>
    <w:p>
      <w:pPr>
        <w:widowControl/>
        <w:spacing w:line="560" w:lineRule="exact"/>
        <w:jc w:val="center"/>
        <w:rPr>
          <w:rFonts w:ascii="Times New Roman" w:hAnsi="Times New Roman" w:eastAsia="方正仿宋简体" w:cs="Times New Roman"/>
          <w:bCs/>
          <w:color w:val="000000"/>
          <w:kern w:val="0"/>
          <w:sz w:val="24"/>
        </w:rPr>
      </w:pPr>
      <w:r>
        <w:rPr>
          <w:rFonts w:ascii="Times New Roman" w:hAnsi="Times New Roman" w:eastAsia="方正仿宋简体" w:cs="Times New Roman"/>
          <w:bCs/>
          <w:color w:val="000000"/>
          <w:kern w:val="0"/>
          <w:sz w:val="24"/>
        </w:rPr>
        <w:t>（2018年之前获得授权单位）</w:t>
      </w:r>
    </w:p>
    <w:p>
      <w:pPr>
        <w:widowControl/>
        <w:spacing w:line="560" w:lineRule="exact"/>
        <w:jc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Times New Roman" w:hAnsi="Times New Roman" w:eastAsia="方正仿宋简体" w:cs="Times New Roman"/>
          <w:b/>
          <w:bCs/>
          <w:color w:val="000000"/>
          <w:kern w:val="0"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4183" w:type="dxa"/>
        <w:jc w:val="center"/>
        <w:tblInd w:w="-14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2340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学位授予单位名称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硕士专业学位授权点名称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中国人民大学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北京交通大学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北京工业大学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北京航空航天大学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北方工业大学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北京化工大学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北京工商大学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北京邮电大学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北京印刷学院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北京建筑大学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中国农业大学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北京农学院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北京林业大学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北京协和医学院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首都医科大学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首都师范大学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中国传媒大学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中央财经大学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首都经济贸易大学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中国人民公安大学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国际关系学院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中央民族大学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华北电力大学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北京信息科技大学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中国石油大学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中国科学院大学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中国铁道科学研究院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中国民航大学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天津农学院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34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天津职业技术师范大学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天津商业大学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天津城建大学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河北地质大学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河北建筑工程学院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河北经贸大学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华北理工大学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石家庄铁道大学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中国人民警察大学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山西大学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太原理工大学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山西农业大学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山西师范大学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中北大学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太原科技大学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太原师范学院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内蒙古大学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内蒙古科技大学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内蒙古工业大学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内蒙古农业大学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辽宁大学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大连理工大学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沈阳工业大学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沈阳航空航天大学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沈阳理工大学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东北大学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辽宁科技大学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辽宁工程技术大学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辽宁石油化工大学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沈阳化工大学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大连交通大学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大连海事大学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大连工业大学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沈阳建筑大学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辽宁工业大学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沈阳农业大学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大连海洋大学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中国医科大学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沈阳药科大学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沈阳大学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大连大学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吉林大学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延边大学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长春理工大学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东北电力大学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长春工业大学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吉林建筑大学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吉林化工学院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吉林农业大学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东北师范大学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北华大学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长春大学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黑龙江大学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哈尔滨工业大学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哈尔滨理工大学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哈尔滨工程大学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黑龙江科技大学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东北石油大学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佳木斯大学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黑龙江八一农垦大学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东北农业大学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东北林业大学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哈尔滨医科大学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哈尔滨师范大学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齐齐哈尔大学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哈尔滨商业大学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同济大学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上海交通大学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华东理工大学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复旦大学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上海理工大学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上海海事大学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东华大学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上海电力学院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上海应用技术大学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上海海洋大学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华东师范大学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上海师范大学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上海工程技术大学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南京航空航天大学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南京信息工程大学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南京农业大学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中国药科大学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南京师范大学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江苏师范大学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南京财经大学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苏州科技大学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扬州大学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淮海工学院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江苏科技大学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中国矿业大学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南京工业大学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常州大学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河海大学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江南大学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南京林业大学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江苏大学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浙江工业大学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宁波大学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浙江理工大学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杭州电子科技大学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浙江工商大学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中国计量大学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浙江海洋大学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浙江农林大学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温州医科大学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浙江科技学院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杭州师范大学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温州大学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绍兴文理学院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中国科学技术大学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合肥工业大学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安徽农业大学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安徽医科大学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安徽工业大学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安徽工程大学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淮北师范大学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安徽建筑大学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厦门大学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华侨大学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福建农林大学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集美大学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闽南师范大学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福建工程学院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南昌大学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华东交通大学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东华理工大学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南昌航空大学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江西理工大学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景德镇陶瓷大学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江西农业大学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江西师范大学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赣南师范大学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江西财经大学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中国海洋大学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青岛科技大学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济南大学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青岛理工大学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山东建筑大学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齐鲁工业大学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山东农业大学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青岛农业大学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泰山医学院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山东中医药大学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山东师范大学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曲阜师范大学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聊城大学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鲁东大学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青岛大学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烟台大学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山东工商学院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华北水利水电大学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郑州大学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河南理工大学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郑州轻工业学院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河南工业大学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河南科技大学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中原工学院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河南农业大学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河南科技学院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河南大学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河南师范大学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信阳师范学院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郑州航空工业管理学院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华中科技大学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武汉科技大学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长江大学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武汉工程大学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中国地质大学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武汉纺织大学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武汉轻工大学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武汉理工大学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湖北工业大学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华中农业大学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华中师范大学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湖北大学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湖北民族学院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中南财经政法大学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中南民族大学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湖北汽车工业学院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江汉大学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三峡大学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中南大学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湘潭大学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湖南农业大学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中南林业科技大学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长沙理工大学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南华大学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湖南工业大学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湖南理工学院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华南理工大学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暨南大学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华南农业大学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南方医科大学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华南师范大学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广东工业大学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汕头大学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广东海洋大学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广州大学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深圳大学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广东技术师范学院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五邑大学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佛山科学技术学院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广西大学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广西师范大学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桂林电子科技大学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桂林理工大学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海南大学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重庆医科大学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重庆邮电大学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重庆工商大学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西南交通大学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西南石油大学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成都理工大学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西南科技大学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成都信息工程大学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四川理工学院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西华大学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中国民用航空飞行学院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西华师范大学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西南民族大学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贵州大学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贵州民族大学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云南大学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西南林业大学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云南民族大学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昆明理工大学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云南农业大学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云南师范大学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西藏大学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西北大学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西北工业大学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西安理工大学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西安电子科技大学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西安工业大学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西安建筑科技大学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西安科技大学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西安石油大学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陕西科技大学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西安工程大学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西北农林科技大学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陕西师范大学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延安大学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陕西理工大学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宝鸡文理学院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西安邮电大学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兰州大学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兰州理工大学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兰州交通大学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甘肃农业大学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西北师范大学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西北民族大学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青海大学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青海师范大学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宁夏大学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北方民族大学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新疆大学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新疆农业大学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石河子大学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新疆医科大学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新疆师范大学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喀什大学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伊犁师范学院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国防科技大学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陆军工程大学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陆军装甲兵学院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陆军炮兵防空兵学院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陆军防化学院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陆军军医大学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陆军军事交通学院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陆军勤务学院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海军工程大学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海军大连舰艇学院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海军航空大学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空军工程大学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空军预警学院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火箭军工程大学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航天工程大学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信息工程大学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武警工程大学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武警后勤学院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军事科学院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</w:tbl>
    <w:p>
      <w:pPr>
        <w:spacing w:line="560" w:lineRule="exact"/>
        <w:contextualSpacing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</w:rPr>
        <w:sectPr>
          <w:type w:val="continuous"/>
          <w:pgSz w:w="11906" w:h="16838"/>
          <w:pgMar w:top="1134" w:right="1134" w:bottom="1134" w:left="1134" w:header="851" w:footer="992" w:gutter="0"/>
          <w:cols w:space="425" w:num="2"/>
          <w:docGrid w:type="lines" w:linePitch="312" w:charSpace="0"/>
        </w:sectPr>
      </w:pPr>
    </w:p>
    <w:p>
      <w:pPr>
        <w:spacing w:line="560" w:lineRule="exact"/>
        <w:contextualSpacing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</w:rPr>
        <w:br w:type="page"/>
      </w:r>
    </w:p>
    <w:p>
      <w:pPr>
        <w:spacing w:line="560" w:lineRule="exact"/>
        <w:contextualSpacing/>
        <w:jc w:val="center"/>
        <w:rPr>
          <w:rFonts w:ascii="Times New Roman" w:hAnsi="Times New Roman" w:eastAsia="黑体" w:cs="Times New Roman"/>
          <w:bCs/>
          <w:color w:val="000000"/>
          <w:kern w:val="0"/>
          <w:sz w:val="36"/>
          <w:szCs w:val="36"/>
        </w:rPr>
      </w:pPr>
      <w:r>
        <w:rPr>
          <w:rFonts w:ascii="Times New Roman" w:hAnsi="黑体" w:eastAsia="黑体" w:cs="Times New Roman"/>
          <w:bCs/>
          <w:color w:val="000000"/>
          <w:kern w:val="0"/>
          <w:sz w:val="36"/>
          <w:szCs w:val="36"/>
        </w:rPr>
        <w:t>工程硕士专业学位授权点对应调整结果</w:t>
      </w:r>
    </w:p>
    <w:p>
      <w:pPr>
        <w:widowControl/>
        <w:spacing w:line="560" w:lineRule="exact"/>
        <w:jc w:val="center"/>
        <w:rPr>
          <w:rFonts w:ascii="Times New Roman" w:hAnsi="Times New Roman" w:eastAsia="方正仿宋简体" w:cs="Times New Roman"/>
          <w:bCs/>
          <w:color w:val="000000"/>
          <w:kern w:val="0"/>
          <w:sz w:val="24"/>
        </w:rPr>
      </w:pPr>
      <w:r>
        <w:rPr>
          <w:rFonts w:ascii="Times New Roman" w:hAnsi="Times New Roman" w:eastAsia="方正仿宋简体" w:cs="Times New Roman"/>
          <w:bCs/>
          <w:color w:val="000000"/>
          <w:kern w:val="0"/>
          <w:sz w:val="24"/>
        </w:rPr>
        <w:t>（2018年获得授权单位）</w:t>
      </w:r>
    </w:p>
    <w:p>
      <w:pPr>
        <w:widowControl/>
        <w:spacing w:line="560" w:lineRule="exact"/>
        <w:jc w:val="center"/>
        <w:rPr>
          <w:rFonts w:ascii="Times New Roman" w:hAnsi="Times New Roman" w:eastAsia="方正小标宋简体" w:cs="Times New Roman"/>
          <w:bCs/>
          <w:color w:val="000000"/>
          <w:kern w:val="0"/>
          <w:sz w:val="24"/>
        </w:rPr>
      </w:pPr>
    </w:p>
    <w:p>
      <w:pPr>
        <w:widowControl/>
        <w:spacing w:line="560" w:lineRule="exact"/>
        <w:jc w:val="center"/>
        <w:rPr>
          <w:rFonts w:ascii="Times New Roman" w:hAnsi="Times New Roman" w:eastAsia="方正仿宋简体" w:cs="Times New Roman"/>
          <w:b/>
          <w:bCs/>
          <w:color w:val="000000"/>
          <w:kern w:val="0"/>
          <w:sz w:val="24"/>
          <w:szCs w:val="24"/>
        </w:rPr>
        <w:sectPr>
          <w:type w:val="continuous"/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4200" w:type="dxa"/>
        <w:jc w:val="center"/>
        <w:tblInd w:w="-25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4"/>
        <w:gridCol w:w="18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学位授予单位名称</w:t>
            </w:r>
          </w:p>
        </w:tc>
        <w:tc>
          <w:tcPr>
            <w:tcW w:w="1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硕士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专业学位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授权点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北京服装学院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北京石油化工学院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北京电子科技学院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北京联合大学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中国农业科学院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山西大同大学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大连民族大学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盐城工学院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南京审计大学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湖州师范学院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阜阳师范学院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合肥学院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厦门理工学院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江西科技师范大学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南昌工程学院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临沂大学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新乡医学院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南阳师范学院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湖北师范大学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湖北文理学院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湖南中医药大学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吉首大学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湖南商学院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衡阳师范学院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广东外语外贸大学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南方科技大学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广东财经大学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 xml:space="preserve">仲恺农业工程学院 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广东药科大学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东莞理工学院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广西民族大学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广西科技大学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 xml:space="preserve">钦州学院 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海南师范大学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海南热带海洋学院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重庆三峡学院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重庆科技学院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成都学院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大理大学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西藏民族大学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榆林学院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天水师范学院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塔里木大学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昌吉学院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</w:tbl>
    <w:p>
      <w:pPr>
        <w:spacing w:line="360" w:lineRule="auto"/>
        <w:contextualSpacing/>
        <w:jc w:val="left"/>
        <w:rPr>
          <w:rFonts w:ascii="Times New Roman" w:hAnsi="Times New Roman" w:cs="Times New Roman"/>
          <w:b/>
          <w:bCs/>
          <w:color w:val="000000"/>
          <w:kern w:val="0"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>
      <w:pPr>
        <w:spacing w:line="360" w:lineRule="auto"/>
        <w:contextualSpacing/>
        <w:jc w:val="left"/>
        <w:rPr>
          <w:rFonts w:ascii="Times New Roman" w:hAnsi="Times New Roman" w:cs="Times New Roman"/>
          <w:b/>
          <w:bCs/>
          <w:color w:val="000000"/>
          <w:kern w:val="0"/>
          <w:sz w:val="24"/>
        </w:rPr>
      </w:pPr>
    </w:p>
    <w:p>
      <w:pPr>
        <w:widowControl/>
        <w:jc w:val="center"/>
        <w:rPr>
          <w:rFonts w:ascii="Times New Roman" w:hAnsi="Times New Roman" w:eastAsia="黑体" w:cs="Times New Roman"/>
          <w:bCs/>
          <w:color w:val="000000"/>
          <w:kern w:val="0"/>
          <w:sz w:val="36"/>
          <w:szCs w:val="36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br w:type="page"/>
      </w:r>
      <w:r>
        <w:rPr>
          <w:rFonts w:ascii="Times New Roman" w:hAnsi="黑体" w:eastAsia="黑体" w:cs="Times New Roman"/>
          <w:bCs/>
          <w:color w:val="000000"/>
          <w:kern w:val="0"/>
          <w:sz w:val="36"/>
          <w:szCs w:val="36"/>
        </w:rPr>
        <w:t>工程博士专业学位授权点对应调整名单</w:t>
      </w:r>
    </w:p>
    <w:p>
      <w:pPr>
        <w:widowControl/>
        <w:jc w:val="center"/>
        <w:rPr>
          <w:rFonts w:ascii="Times New Roman" w:hAnsi="Times New Roman" w:eastAsia="方正仿宋简体" w:cs="Times New Roman"/>
          <w:bCs/>
          <w:color w:val="000000"/>
          <w:kern w:val="0"/>
          <w:sz w:val="24"/>
        </w:rPr>
      </w:pPr>
      <w:r>
        <w:rPr>
          <w:rFonts w:ascii="Times New Roman" w:hAnsi="Times New Roman" w:eastAsia="方正仿宋简体" w:cs="Times New Roman"/>
          <w:bCs/>
          <w:color w:val="000000"/>
          <w:kern w:val="0"/>
          <w:sz w:val="24"/>
        </w:rPr>
        <w:t>（2011年获得授权单位）</w:t>
      </w:r>
    </w:p>
    <w:p>
      <w:pPr>
        <w:widowControl/>
        <w:jc w:val="center"/>
        <w:rPr>
          <w:rFonts w:ascii="Times New Roman" w:hAnsi="Times New Roman" w:eastAsia="方正小标宋简体" w:cs="Times New Roman"/>
          <w:bCs/>
          <w:color w:val="000000"/>
          <w:kern w:val="0"/>
          <w:sz w:val="24"/>
        </w:rPr>
      </w:pPr>
    </w:p>
    <w:p>
      <w:pPr>
        <w:widowControl/>
        <w:spacing w:line="560" w:lineRule="exact"/>
        <w:jc w:val="center"/>
        <w:rPr>
          <w:rFonts w:ascii="Times New Roman" w:hAnsi="Times New Roman" w:eastAsia="方正仿宋简体" w:cs="Times New Roman"/>
          <w:b/>
          <w:bCs/>
          <w:color w:val="000000"/>
          <w:kern w:val="0"/>
          <w:sz w:val="24"/>
          <w:szCs w:val="24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3701" w:type="dxa"/>
        <w:jc w:val="center"/>
        <w:tblInd w:w="-25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192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学位授予单位</w:t>
            </w:r>
          </w:p>
          <w:p>
            <w:pPr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博士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专业学位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授权点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北京航空航天大学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北京理工大学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吉林大学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哈尔滨工业大学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同济大学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上海交通大学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复旦大学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中国科学技术大学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中国海洋大学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华中科技大学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中南大学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华南理工大学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电子科技大学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西北工业大学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国防科技大学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</w:tbl>
    <w:p>
      <w:pPr>
        <w:widowControl/>
        <w:jc w:val="center"/>
        <w:rPr>
          <w:rFonts w:ascii="Times New Roman" w:hAnsi="Times New Roman" w:eastAsia="黑体" w:cs="Times New Roman"/>
          <w:bCs/>
          <w:color w:val="000000"/>
          <w:kern w:val="0"/>
          <w:sz w:val="36"/>
          <w:szCs w:val="36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>
      <w:pPr>
        <w:widowControl/>
        <w:jc w:val="center"/>
        <w:rPr>
          <w:rFonts w:ascii="Times New Roman" w:hAnsi="Times New Roman" w:eastAsia="黑体" w:cs="Times New Roman"/>
          <w:bCs/>
          <w:color w:val="000000"/>
          <w:kern w:val="0"/>
          <w:sz w:val="36"/>
          <w:szCs w:val="36"/>
        </w:rPr>
      </w:pPr>
    </w:p>
    <w:p>
      <w:pPr>
        <w:widowControl/>
        <w:jc w:val="center"/>
        <w:rPr>
          <w:rFonts w:ascii="Times New Roman" w:hAnsi="Times New Roman" w:eastAsia="黑体" w:cs="Times New Roman"/>
          <w:bCs/>
          <w:color w:val="000000"/>
          <w:kern w:val="0"/>
          <w:sz w:val="36"/>
          <w:szCs w:val="36"/>
        </w:rPr>
      </w:pPr>
    </w:p>
    <w:p>
      <w:pPr>
        <w:widowControl/>
        <w:jc w:val="center"/>
        <w:rPr>
          <w:rFonts w:ascii="Times New Roman" w:hAnsi="Times New Roman" w:eastAsia="黑体" w:cs="Times New Roman"/>
          <w:bCs/>
          <w:color w:val="000000"/>
          <w:kern w:val="0"/>
          <w:sz w:val="36"/>
          <w:szCs w:val="36"/>
        </w:rPr>
      </w:pPr>
    </w:p>
    <w:p>
      <w:pPr>
        <w:widowControl/>
        <w:jc w:val="center"/>
        <w:rPr>
          <w:rFonts w:ascii="Times New Roman" w:hAnsi="Times New Roman" w:eastAsia="黑体" w:cs="Times New Roman"/>
          <w:bCs/>
          <w:color w:val="000000"/>
          <w:kern w:val="0"/>
          <w:sz w:val="36"/>
          <w:szCs w:val="36"/>
        </w:rPr>
      </w:pPr>
    </w:p>
    <w:p>
      <w:pPr>
        <w:widowControl/>
        <w:jc w:val="center"/>
        <w:rPr>
          <w:rFonts w:ascii="Times New Roman" w:hAnsi="Times New Roman" w:eastAsia="黑体" w:cs="Times New Roman"/>
          <w:bCs/>
          <w:color w:val="000000"/>
          <w:kern w:val="0"/>
          <w:sz w:val="36"/>
          <w:szCs w:val="36"/>
        </w:rPr>
      </w:pPr>
    </w:p>
    <w:p>
      <w:pPr>
        <w:widowControl/>
        <w:jc w:val="center"/>
        <w:rPr>
          <w:rFonts w:ascii="Times New Roman" w:hAnsi="Times New Roman" w:eastAsia="黑体" w:cs="Times New Roman"/>
          <w:bCs/>
          <w:color w:val="000000"/>
          <w:kern w:val="0"/>
          <w:sz w:val="36"/>
          <w:szCs w:val="36"/>
        </w:rPr>
      </w:pPr>
    </w:p>
    <w:p>
      <w:pPr>
        <w:widowControl/>
        <w:jc w:val="center"/>
        <w:rPr>
          <w:rFonts w:ascii="Times New Roman" w:hAnsi="Times New Roman" w:eastAsia="黑体" w:cs="Times New Roman"/>
          <w:bCs/>
          <w:color w:val="000000"/>
          <w:kern w:val="0"/>
          <w:sz w:val="36"/>
          <w:szCs w:val="36"/>
        </w:rPr>
      </w:pPr>
    </w:p>
    <w:p>
      <w:pPr>
        <w:widowControl/>
        <w:jc w:val="center"/>
        <w:rPr>
          <w:rFonts w:ascii="Times New Roman" w:hAnsi="Times New Roman" w:eastAsia="黑体" w:cs="Times New Roman"/>
          <w:bCs/>
          <w:color w:val="000000"/>
          <w:kern w:val="0"/>
          <w:sz w:val="36"/>
          <w:szCs w:val="36"/>
        </w:rPr>
      </w:pPr>
      <w:r>
        <w:rPr>
          <w:rFonts w:ascii="Times New Roman" w:hAnsi="黑体" w:eastAsia="黑体" w:cs="Times New Roman"/>
          <w:bCs/>
          <w:color w:val="000000"/>
          <w:kern w:val="0"/>
          <w:sz w:val="36"/>
          <w:szCs w:val="36"/>
        </w:rPr>
        <w:t>工程博士专业学位授权点对应调整名单</w:t>
      </w:r>
    </w:p>
    <w:p>
      <w:pPr>
        <w:widowControl/>
        <w:jc w:val="center"/>
        <w:rPr>
          <w:rFonts w:ascii="Times New Roman" w:hAnsi="Times New Roman" w:eastAsia="方正小标宋简体" w:cs="Times New Roman"/>
          <w:bCs/>
          <w:color w:val="000000"/>
          <w:kern w:val="0"/>
          <w:sz w:val="24"/>
        </w:rPr>
      </w:pPr>
      <w:r>
        <w:rPr>
          <w:rFonts w:ascii="Times New Roman" w:hAnsi="Times New Roman" w:eastAsia="方正仿宋简体" w:cs="Times New Roman"/>
          <w:bCs/>
          <w:color w:val="000000"/>
          <w:kern w:val="0"/>
          <w:sz w:val="24"/>
        </w:rPr>
        <w:t>（2018年获得授权单位）</w:t>
      </w:r>
    </w:p>
    <w:p>
      <w:pPr>
        <w:widowControl/>
        <w:spacing w:line="560" w:lineRule="exact"/>
        <w:jc w:val="center"/>
        <w:rPr>
          <w:rFonts w:ascii="Times New Roman" w:hAnsi="Times New Roman" w:eastAsia="方正仿宋简体" w:cs="Times New Roman"/>
          <w:b/>
          <w:bCs/>
          <w:color w:val="000000"/>
          <w:kern w:val="0"/>
          <w:sz w:val="24"/>
          <w:szCs w:val="24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3828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学位授予单位</w:t>
            </w:r>
          </w:p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博士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专业学位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授权点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8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北京交通大学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85" w:type="dxa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大连理工大学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东北大学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哈尔滨工程大学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东华大学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南京航空航天大学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合肥工业大学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郑州大学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湖南大学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西南交通大学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昆明理工大学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西安电子科技大学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中国石油大学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</w:tbl>
    <w:p>
      <w:pPr>
        <w:spacing w:line="360" w:lineRule="auto"/>
        <w:contextualSpacing/>
        <w:jc w:val="left"/>
        <w:rPr>
          <w:rFonts w:ascii="Times New Roman" w:hAnsi="Times New Roman" w:cs="Times New Roman"/>
          <w:b/>
          <w:bCs/>
          <w:color w:val="000000"/>
          <w:kern w:val="0"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>
      <w:pPr>
        <w:widowControl/>
        <w:jc w:val="center"/>
        <w:rPr>
          <w:rFonts w:ascii="Times New Roman" w:hAnsi="Times New Roman" w:eastAsia="黑体" w:cs="Times New Roman"/>
          <w:bCs/>
          <w:color w:val="000000"/>
          <w:kern w:val="0"/>
          <w:sz w:val="36"/>
          <w:szCs w:val="36"/>
        </w:rPr>
      </w:pPr>
      <w:r>
        <w:rPr>
          <w:rFonts w:ascii="Times New Roman" w:hAnsi="黑体" w:eastAsia="黑体" w:cs="Times New Roman"/>
          <w:bCs/>
          <w:color w:val="000000"/>
          <w:kern w:val="0"/>
          <w:sz w:val="36"/>
          <w:szCs w:val="36"/>
        </w:rPr>
        <w:t>对应调整后新增工程管理硕士专业学位授权点名单</w:t>
      </w:r>
    </w:p>
    <w:p>
      <w:pPr>
        <w:widowControl/>
        <w:jc w:val="center"/>
        <w:rPr>
          <w:rFonts w:ascii="Times New Roman" w:hAnsi="Times New Roman" w:eastAsia="黑体" w:cs="Times New Roman"/>
          <w:bCs/>
          <w:color w:val="000000"/>
          <w:kern w:val="0"/>
          <w:sz w:val="36"/>
          <w:szCs w:val="36"/>
        </w:rPr>
      </w:pPr>
    </w:p>
    <w:tbl>
      <w:tblPr>
        <w:tblStyle w:val="5"/>
        <w:tblW w:w="9214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268"/>
        <w:gridCol w:w="226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tblHeader/>
        </w:trPr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cs="Times New Roman"/>
                <w:color w:val="000000"/>
                <w:kern w:val="0"/>
                <w:sz w:val="24"/>
              </w:rPr>
              <w:t>北京科技大学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cs="Times New Roman"/>
                <w:color w:val="000000"/>
                <w:kern w:val="0"/>
                <w:sz w:val="24"/>
              </w:rPr>
              <w:t>东北农业大学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华南农业大学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陆军军事交通学院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cs="Times New Roman"/>
                <w:color w:val="000000"/>
                <w:kern w:val="0"/>
                <w:sz w:val="24"/>
              </w:rPr>
              <w:t>北京工商大学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cs="Times New Roman"/>
                <w:color w:val="000000"/>
                <w:kern w:val="0"/>
                <w:sz w:val="24"/>
              </w:rPr>
              <w:t>哈尔滨商业大学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重庆邮电大学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海军航空大学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cs="Times New Roman"/>
                <w:color w:val="000000"/>
                <w:kern w:val="0"/>
                <w:sz w:val="24"/>
              </w:rPr>
              <w:t>北京物资学院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cs="Times New Roman"/>
                <w:color w:val="000000"/>
                <w:kern w:val="0"/>
                <w:sz w:val="24"/>
              </w:rPr>
              <w:t>南京航空航天大学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重庆交通大学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航天工程大学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cs="Times New Roman"/>
                <w:color w:val="000000"/>
                <w:kern w:val="0"/>
                <w:sz w:val="24"/>
              </w:rPr>
              <w:t>河北工程大学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cs="Times New Roman"/>
                <w:color w:val="000000"/>
                <w:kern w:val="0"/>
                <w:sz w:val="24"/>
              </w:rPr>
              <w:t>南京理工大学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西南财经大学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信息工程大学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cs="Times New Roman"/>
                <w:color w:val="000000"/>
                <w:kern w:val="0"/>
                <w:sz w:val="24"/>
              </w:rPr>
              <w:t>河北工业大学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cs="Times New Roman"/>
                <w:color w:val="000000"/>
                <w:kern w:val="0"/>
                <w:sz w:val="24"/>
              </w:rPr>
              <w:t>南京农业大学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云南财经大学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复旦大学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cs="Times New Roman"/>
                <w:color w:val="000000"/>
                <w:kern w:val="0"/>
                <w:sz w:val="24"/>
              </w:rPr>
              <w:t>河北科技大学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安徽工业大学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西安理工大学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江苏科技大学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石家庄铁道大学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华侨大学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西安电子科技大学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常州大学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山西大学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中国海洋大学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西安工业大学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南京邮电大学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太原科技大学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青岛科技大学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西安科技大学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江南大学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中北大学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济南大学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西安石油大学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江苏大学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太原理工大学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山东理工大学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兰州理工大学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杭州电子科技大学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山西财经大学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山东财经大学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天津城建大学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浙江工业大学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辽宁工程技术大学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河南理工大学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沈阳大学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浙江理工大学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大连交通大学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郑州轻工业学院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三峡大学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浙江工商大学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渤海大学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河南工业大学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扬州大学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南昌航空大学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长春理工大学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河南科技大学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北京信息科技大学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江西财经大学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东北电力大学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河南大学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湖南工业大学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广州大学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长春工业大学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武汉纺织大学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西安财经学院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哈尔滨工业大学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湖南大学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西安邮电大学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燕山大学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中山大学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国防科技大学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560" w:lineRule="exact"/>
        <w:jc w:val="center"/>
        <w:rPr>
          <w:rFonts w:ascii="Times New Roman" w:hAnsi="Times New Roman" w:eastAsia="黑体" w:cs="Times New Roman"/>
          <w:bCs/>
          <w:color w:val="000000"/>
          <w:kern w:val="0"/>
          <w:sz w:val="36"/>
          <w:szCs w:val="36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36"/>
          <w:szCs w:val="36"/>
        </w:rPr>
        <w:t>对应调整后相关工程领域授权点直接归并到</w:t>
      </w:r>
    </w:p>
    <w:p>
      <w:pPr>
        <w:widowControl/>
        <w:spacing w:line="560" w:lineRule="exact"/>
        <w:jc w:val="center"/>
        <w:rPr>
          <w:rFonts w:ascii="Times New Roman" w:hAnsi="Times New Roman" w:eastAsia="黑体" w:cs="Times New Roman"/>
          <w:bCs/>
          <w:color w:val="000000"/>
          <w:kern w:val="0"/>
          <w:sz w:val="36"/>
          <w:szCs w:val="36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36"/>
          <w:szCs w:val="36"/>
        </w:rPr>
        <w:t>原有工程管理硕士专业学位授权点名单</w:t>
      </w:r>
    </w:p>
    <w:p>
      <w:pPr>
        <w:widowControl/>
        <w:spacing w:line="560" w:lineRule="exact"/>
        <w:jc w:val="center"/>
        <w:rPr>
          <w:rFonts w:ascii="Times New Roman" w:hAnsi="Times New Roman" w:eastAsia="黑体" w:cs="Times New Roman"/>
          <w:bCs/>
          <w:color w:val="000000"/>
          <w:kern w:val="0"/>
          <w:sz w:val="24"/>
          <w:szCs w:val="24"/>
        </w:rPr>
      </w:pPr>
    </w:p>
    <w:tbl>
      <w:tblPr>
        <w:tblStyle w:val="5"/>
        <w:tblW w:w="9214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268"/>
        <w:gridCol w:w="226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</w:trPr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333333"/>
                <w:kern w:val="0"/>
                <w:sz w:val="24"/>
                <w:szCs w:val="24"/>
              </w:rPr>
              <w:t>东北林业大学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厦门大学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重庆大学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同济大学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福州大学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西南交通大学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333333"/>
                <w:kern w:val="0"/>
                <w:sz w:val="24"/>
                <w:szCs w:val="24"/>
              </w:rPr>
              <w:t>北京交通大学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上海交通大学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南昌大学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西南石油大学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333333"/>
                <w:kern w:val="0"/>
                <w:sz w:val="24"/>
                <w:szCs w:val="24"/>
              </w:rPr>
              <w:t>北京航空航天大学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华东理工大学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华东交通大学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333333"/>
                <w:kern w:val="0"/>
                <w:sz w:val="24"/>
                <w:szCs w:val="24"/>
              </w:rPr>
              <w:t>成都理工大学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333333"/>
                <w:kern w:val="0"/>
                <w:sz w:val="24"/>
                <w:szCs w:val="24"/>
              </w:rPr>
              <w:t>北京理工大学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上海理工大学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江西理工大学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云南大学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333333"/>
                <w:kern w:val="0"/>
                <w:sz w:val="24"/>
                <w:szCs w:val="24"/>
              </w:rPr>
              <w:t>北京邮电大学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上海海事大学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昆明理工大学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333333"/>
                <w:kern w:val="0"/>
                <w:sz w:val="24"/>
                <w:szCs w:val="24"/>
              </w:rPr>
              <w:t>北京建筑大学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东华大学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中国石油大学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西北工业大学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333333"/>
                <w:kern w:val="0"/>
                <w:sz w:val="24"/>
                <w:szCs w:val="24"/>
              </w:rPr>
              <w:t>华北电力大学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上海大学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333333"/>
                <w:kern w:val="0"/>
                <w:sz w:val="24"/>
                <w:szCs w:val="24"/>
              </w:rPr>
              <w:t>河南农业大学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西安建筑科技大学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333333"/>
                <w:kern w:val="0"/>
                <w:sz w:val="24"/>
                <w:szCs w:val="24"/>
              </w:rPr>
              <w:t>河南财经政法大学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长安大学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天津理工大学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武汉科技大学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333333"/>
                <w:kern w:val="0"/>
                <w:sz w:val="24"/>
                <w:szCs w:val="24"/>
              </w:rPr>
              <w:t>广东工业大学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内蒙古工业大学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中国矿业大学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武汉理工大学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333333"/>
                <w:kern w:val="0"/>
                <w:sz w:val="24"/>
                <w:szCs w:val="24"/>
              </w:rPr>
              <w:t>中国科学院大学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333333"/>
                <w:kern w:val="0"/>
                <w:sz w:val="24"/>
                <w:szCs w:val="24"/>
              </w:rPr>
              <w:t>大连理工大学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南京工业大学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中南大学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333333"/>
                <w:kern w:val="0"/>
                <w:sz w:val="24"/>
                <w:szCs w:val="24"/>
              </w:rPr>
              <w:t>海军工程大学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沈阳工业大学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河海大学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333333"/>
                <w:kern w:val="0"/>
                <w:sz w:val="24"/>
                <w:szCs w:val="24"/>
              </w:rPr>
              <w:t>暨南大学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333333"/>
                <w:kern w:val="0"/>
                <w:sz w:val="24"/>
                <w:szCs w:val="24"/>
              </w:rPr>
              <w:t>空军工程大学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333333"/>
                <w:kern w:val="0"/>
                <w:sz w:val="24"/>
                <w:szCs w:val="24"/>
              </w:rPr>
              <w:t>东北大学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中国科学技术大学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333333"/>
                <w:kern w:val="0"/>
                <w:sz w:val="24"/>
                <w:szCs w:val="24"/>
              </w:rPr>
              <w:t>华南理工大学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333333"/>
                <w:kern w:val="0"/>
                <w:sz w:val="24"/>
                <w:szCs w:val="24"/>
              </w:rPr>
              <w:t>火箭军工程大学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333333"/>
                <w:kern w:val="0"/>
                <w:sz w:val="24"/>
                <w:szCs w:val="24"/>
              </w:rPr>
              <w:t>大连海事大学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合肥工业大学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333333"/>
                <w:kern w:val="0"/>
                <w:sz w:val="24"/>
                <w:szCs w:val="24"/>
              </w:rPr>
              <w:t>广西大学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333333"/>
                <w:kern w:val="0"/>
                <w:sz w:val="24"/>
                <w:szCs w:val="24"/>
              </w:rPr>
              <w:t>哈尔滨理工大学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安徽理工大学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方正仿宋简体" w:cs="Times New Roman"/>
          <w:sz w:val="32"/>
          <w:szCs w:val="32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Times New Roman" w:hAnsi="Times New Roman" w:cs="Times New Roman"/>
        <w:sz w:val="30"/>
        <w:szCs w:val="30"/>
      </w:rPr>
    </w:pPr>
    <w:r>
      <w:rPr>
        <w:rFonts w:ascii="Times New Roman" w:hAnsi="Times New Roman" w:cs="Times New Roman"/>
        <w:sz w:val="30"/>
        <w:szCs w:val="30"/>
      </w:rPr>
      <w:t xml:space="preserve">－ </w:t>
    </w:r>
    <w:sdt>
      <w:sdtPr>
        <w:rPr>
          <w:rFonts w:ascii="Times New Roman" w:hAnsi="Times New Roman" w:cs="Times New Roman"/>
          <w:sz w:val="30"/>
          <w:szCs w:val="30"/>
        </w:rPr>
        <w:id w:val="11632486"/>
        <w:docPartObj>
          <w:docPartGallery w:val="AutoText"/>
        </w:docPartObj>
      </w:sdtPr>
      <w:sdtEndPr>
        <w:rPr>
          <w:rFonts w:ascii="Times New Roman" w:hAnsi="Times New Roman" w:cs="Times New Roman"/>
          <w:sz w:val="30"/>
          <w:szCs w:val="30"/>
        </w:rPr>
      </w:sdtEndPr>
      <w:sdtContent>
        <w:r>
          <w:rPr>
            <w:rFonts w:ascii="Times New Roman" w:hAnsi="Times New Roman" w:cs="Times New Roman"/>
            <w:sz w:val="30"/>
            <w:szCs w:val="30"/>
          </w:rPr>
          <w:fldChar w:fldCharType="begin"/>
        </w:r>
        <w:r>
          <w:rPr>
            <w:rFonts w:ascii="Times New Roman" w:hAnsi="Times New Roman" w:cs="Times New Roman"/>
            <w:sz w:val="30"/>
            <w:szCs w:val="30"/>
          </w:rPr>
          <w:instrText xml:space="preserve"> PAGE   \* MERGEFORMAT </w:instrText>
        </w:r>
        <w:r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sz w:val="30"/>
            <w:szCs w:val="30"/>
            <w:lang w:val="zh-CN"/>
          </w:rPr>
          <w:t>1</w:t>
        </w:r>
        <w:r>
          <w:rPr>
            <w:rFonts w:ascii="Times New Roman" w:hAnsi="Times New Roman" w:cs="Times New Roman"/>
            <w:sz w:val="30"/>
            <w:szCs w:val="30"/>
          </w:rPr>
          <w:fldChar w:fldCharType="end"/>
        </w:r>
        <w:r>
          <w:rPr>
            <w:rFonts w:ascii="Times New Roman" w:hAnsi="Times New Roman" w:cs="Times New Roman"/>
            <w:sz w:val="30"/>
            <w:szCs w:val="30"/>
          </w:rPr>
          <w:t xml:space="preserve"> －</w:t>
        </w:r>
      </w:sdtContent>
    </w:sdt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3478"/>
    <w:rsid w:val="00007312"/>
    <w:rsid w:val="000724C0"/>
    <w:rsid w:val="000E3478"/>
    <w:rsid w:val="000E5F98"/>
    <w:rsid w:val="001671BC"/>
    <w:rsid w:val="001D57AE"/>
    <w:rsid w:val="001E4608"/>
    <w:rsid w:val="00215A06"/>
    <w:rsid w:val="00274D00"/>
    <w:rsid w:val="002A419B"/>
    <w:rsid w:val="002C06E0"/>
    <w:rsid w:val="002C2003"/>
    <w:rsid w:val="002D294F"/>
    <w:rsid w:val="002E066A"/>
    <w:rsid w:val="003073EC"/>
    <w:rsid w:val="003304C9"/>
    <w:rsid w:val="00346687"/>
    <w:rsid w:val="0036328E"/>
    <w:rsid w:val="00366C9C"/>
    <w:rsid w:val="003C6885"/>
    <w:rsid w:val="003E4A08"/>
    <w:rsid w:val="004006A0"/>
    <w:rsid w:val="00440756"/>
    <w:rsid w:val="00447C60"/>
    <w:rsid w:val="00451524"/>
    <w:rsid w:val="004B4EB4"/>
    <w:rsid w:val="004B655C"/>
    <w:rsid w:val="004D0B1D"/>
    <w:rsid w:val="004E7F5C"/>
    <w:rsid w:val="004F1425"/>
    <w:rsid w:val="00524DED"/>
    <w:rsid w:val="00550B35"/>
    <w:rsid w:val="005B54C2"/>
    <w:rsid w:val="005C0F15"/>
    <w:rsid w:val="005C5D52"/>
    <w:rsid w:val="005E5C3D"/>
    <w:rsid w:val="00632531"/>
    <w:rsid w:val="00703007"/>
    <w:rsid w:val="007406DF"/>
    <w:rsid w:val="00783E65"/>
    <w:rsid w:val="007C322C"/>
    <w:rsid w:val="008070AC"/>
    <w:rsid w:val="008272C7"/>
    <w:rsid w:val="00835ECE"/>
    <w:rsid w:val="0087101B"/>
    <w:rsid w:val="0087207D"/>
    <w:rsid w:val="008B4568"/>
    <w:rsid w:val="008D266C"/>
    <w:rsid w:val="008E1F36"/>
    <w:rsid w:val="00934212"/>
    <w:rsid w:val="009669FF"/>
    <w:rsid w:val="009731A8"/>
    <w:rsid w:val="00990438"/>
    <w:rsid w:val="00995622"/>
    <w:rsid w:val="00A12064"/>
    <w:rsid w:val="00A177FB"/>
    <w:rsid w:val="00A44CAC"/>
    <w:rsid w:val="00A47D7C"/>
    <w:rsid w:val="00A75783"/>
    <w:rsid w:val="00A937D9"/>
    <w:rsid w:val="00AB3FDF"/>
    <w:rsid w:val="00B14A3B"/>
    <w:rsid w:val="00B17933"/>
    <w:rsid w:val="00B42A52"/>
    <w:rsid w:val="00B55F6A"/>
    <w:rsid w:val="00BD14E1"/>
    <w:rsid w:val="00BE7F27"/>
    <w:rsid w:val="00C307B5"/>
    <w:rsid w:val="00C3197D"/>
    <w:rsid w:val="00C61398"/>
    <w:rsid w:val="00C74CA6"/>
    <w:rsid w:val="00CD39BE"/>
    <w:rsid w:val="00CD760A"/>
    <w:rsid w:val="00CE74B1"/>
    <w:rsid w:val="00D070D6"/>
    <w:rsid w:val="00D26F07"/>
    <w:rsid w:val="00D4235C"/>
    <w:rsid w:val="00D6051D"/>
    <w:rsid w:val="00D66871"/>
    <w:rsid w:val="00D77A25"/>
    <w:rsid w:val="00E048CB"/>
    <w:rsid w:val="00E200CD"/>
    <w:rsid w:val="00E22366"/>
    <w:rsid w:val="00E54972"/>
    <w:rsid w:val="00E64675"/>
    <w:rsid w:val="00E65571"/>
    <w:rsid w:val="00E814C0"/>
    <w:rsid w:val="00EA6A54"/>
    <w:rsid w:val="00EB3397"/>
    <w:rsid w:val="00EC5DE8"/>
    <w:rsid w:val="00ED254F"/>
    <w:rsid w:val="00ED452B"/>
    <w:rsid w:val="00F01F92"/>
    <w:rsid w:val="00F1319F"/>
    <w:rsid w:val="00F34578"/>
    <w:rsid w:val="00F56D0F"/>
    <w:rsid w:val="00F6291D"/>
    <w:rsid w:val="00F7557F"/>
    <w:rsid w:val="00F857C5"/>
    <w:rsid w:val="00FB516F"/>
    <w:rsid w:val="00FD7506"/>
    <w:rsid w:val="792F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41</Pages>
  <Words>2348</Words>
  <Characters>13384</Characters>
  <Lines>111</Lines>
  <Paragraphs>31</Paragraphs>
  <TotalTime>412</TotalTime>
  <ScaleCrop>false</ScaleCrop>
  <LinksUpToDate>false</LinksUpToDate>
  <CharactersWithSpaces>15701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2019-04-11T02:14:00Z</dcterms:created>
  <dc:creator>Windows 用户</dc:creator>
  <cp:lastModifiedBy>忆流年</cp:lastModifiedBy>
  <cp:lastPrinted>2019-05-17T06:32:00Z</cp:lastPrinted>
  <dcterms:modified xsi:type="dcterms:W3CDTF">2019-05-24T12:20:05Z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