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z w:val="44"/>
          <w:szCs w:val="44"/>
        </w:rPr>
      </w:pPr>
      <w:r>
        <w:rPr>
          <w:rFonts w:hint="eastAsia" w:eastAsia="方正小标宋简体"/>
          <w:sz w:val="44"/>
          <w:szCs w:val="44"/>
        </w:rPr>
        <w:t>中南大学关于修（制）订研究生培养方案的指导性意见</w:t>
      </w:r>
    </w:p>
    <w:p>
      <w:pPr>
        <w:spacing w:line="560" w:lineRule="exact"/>
        <w:jc w:val="center"/>
        <w:rPr>
          <w:rFonts w:hint="eastAsia" w:ascii="仿宋_GB2312" w:eastAsia="仿宋_GB2312"/>
          <w:sz w:val="32"/>
          <w:szCs w:val="32"/>
        </w:rPr>
      </w:pPr>
      <w:r>
        <w:rPr>
          <w:rFonts w:hint="eastAsia" w:eastAsia="方正小标宋简体"/>
          <w:sz w:val="32"/>
          <w:szCs w:val="32"/>
          <w:lang w:eastAsia="zh-CN"/>
        </w:rPr>
        <w:t>（征求意见稿）</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党的教育方针</w:t>
      </w:r>
      <w:r>
        <w:rPr>
          <w:rFonts w:hint="eastAsia" w:ascii="仿宋_GB2312" w:eastAsia="仿宋_GB2312"/>
          <w:sz w:val="32"/>
          <w:szCs w:val="32"/>
        </w:rPr>
        <w:t>，为适应新时期经济社会发展对高层次人才的需求，全面提高研究生教育质量，深入推进学位与研究生教育事业改革发展，学校决定开展</w:t>
      </w:r>
      <w:r>
        <w:rPr>
          <w:rFonts w:hint="eastAsia" w:ascii="仿宋_GB2312" w:eastAsia="仿宋_GB2312"/>
          <w:sz w:val="32"/>
          <w:szCs w:val="32"/>
          <w:lang w:val="en-US" w:eastAsia="zh-CN"/>
        </w:rPr>
        <w:t>2020版</w:t>
      </w:r>
      <w:r>
        <w:rPr>
          <w:rFonts w:hint="eastAsia" w:ascii="仿宋_GB2312" w:eastAsia="仿宋_GB2312"/>
          <w:sz w:val="32"/>
          <w:szCs w:val="32"/>
        </w:rPr>
        <w:t>研究生培养方案修（制）订工作，相关要求如下：</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一、总体思路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全面贯彻落实立德树人根本任务，立足国家战略和社会发展需求，坚持服务需求、提高质量</w:t>
      </w:r>
      <w:r>
        <w:rPr>
          <w:rFonts w:hint="eastAsia" w:ascii="仿宋_GB2312" w:eastAsia="仿宋_GB2312"/>
          <w:sz w:val="32"/>
          <w:szCs w:val="32"/>
          <w:lang w:eastAsia="zh-CN"/>
        </w:rPr>
        <w:t>，</w:t>
      </w:r>
      <w:r>
        <w:rPr>
          <w:rFonts w:hint="eastAsia" w:ascii="仿宋_GB2312" w:eastAsia="仿宋_GB2312"/>
          <w:sz w:val="32"/>
          <w:szCs w:val="32"/>
        </w:rPr>
        <w:t>坚持寓教于研、激励创新</w:t>
      </w:r>
      <w:r>
        <w:rPr>
          <w:rFonts w:hint="eastAsia" w:ascii="仿宋_GB2312" w:eastAsia="仿宋_GB2312"/>
          <w:sz w:val="32"/>
          <w:szCs w:val="32"/>
          <w:lang w:eastAsia="zh-CN"/>
        </w:rPr>
        <w:t>，</w:t>
      </w:r>
      <w:r>
        <w:rPr>
          <w:rFonts w:hint="eastAsia" w:ascii="仿宋_GB2312" w:eastAsia="仿宋_GB2312"/>
          <w:sz w:val="32"/>
          <w:szCs w:val="32"/>
        </w:rPr>
        <w:t>坚持分类改革、机制创新</w:t>
      </w:r>
      <w:r>
        <w:rPr>
          <w:rFonts w:hint="eastAsia" w:ascii="仿宋_GB2312" w:eastAsia="仿宋_GB2312"/>
          <w:sz w:val="32"/>
          <w:szCs w:val="32"/>
          <w:lang w:eastAsia="zh-CN"/>
        </w:rPr>
        <w:t>。</w:t>
      </w:r>
      <w:r>
        <w:rPr>
          <w:rFonts w:hint="eastAsia" w:ascii="仿宋_GB2312" w:eastAsia="仿宋_GB2312"/>
          <w:sz w:val="32"/>
          <w:szCs w:val="32"/>
        </w:rPr>
        <w:t>以促进研究生成长成才为中心，着力构建符合学科定位和发展目标的高水平课程体系，优化和规范培养过程，形成以能力提升为导向、富有特色和成效的研究生培养方案。</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二、基本要求</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rPr>
        <w:t>原则上按一级学科统筹修订</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多个二级培养单位共建的一级学科专业由学位点申报与评估负责单位牵头组织；自主设置的交叉学科、尚无一级学科授权点的可按二级学科修订；专业学位培养方案按类别（或专业领域）修订；各学科专业按趋同原则同时制定国际研究生培养方案；有非全日制招生的学科专业，需单独制定培养方案。</w:t>
      </w:r>
      <w:bookmarkStart w:id="0" w:name="_GoBack"/>
      <w:bookmarkEnd w:id="0"/>
    </w:p>
    <w:p>
      <w:pPr>
        <w:numPr>
          <w:ilvl w:val="0"/>
          <w:numId w:val="1"/>
        </w:num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建立</w:t>
      </w:r>
      <w:r>
        <w:rPr>
          <w:rFonts w:hint="eastAsia" w:ascii="仿宋_GB2312" w:eastAsia="仿宋_GB2312"/>
          <w:b/>
          <w:bCs/>
          <w:sz w:val="32"/>
          <w:szCs w:val="32"/>
        </w:rPr>
        <w:t>分类人才培养目标体系</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培养方案应明确培养目标和基本要求，并在此基础上</w:t>
      </w:r>
      <w:r>
        <w:rPr>
          <w:rFonts w:hint="eastAsia" w:ascii="仿宋_GB2312" w:eastAsia="仿宋_GB2312"/>
          <w:sz w:val="32"/>
          <w:szCs w:val="32"/>
          <w:lang w:eastAsia="zh-CN"/>
        </w:rPr>
        <w:t>制定相应的</w:t>
      </w:r>
      <w:r>
        <w:rPr>
          <w:rFonts w:hint="eastAsia" w:ascii="仿宋_GB2312" w:eastAsia="仿宋_GB2312"/>
          <w:sz w:val="32"/>
          <w:szCs w:val="32"/>
        </w:rPr>
        <w:t>课程体系及培养环节。学术学位研究生的培养要以提高创新能力为目标，充分发挥科研优势对研究生培养的促进作用，积极推进学术型硕士研究生与博士研究生的贯通培养</w:t>
      </w:r>
      <w:r>
        <w:rPr>
          <w:rFonts w:hint="eastAsia" w:ascii="仿宋_GB2312" w:eastAsia="仿宋_GB2312"/>
          <w:color w:val="548DD4"/>
          <w:sz w:val="32"/>
          <w:szCs w:val="32"/>
        </w:rPr>
        <w:t>，</w:t>
      </w:r>
      <w:r>
        <w:rPr>
          <w:rFonts w:hint="eastAsia" w:ascii="仿宋_GB2312" w:eastAsia="仿宋_GB2312"/>
          <w:sz w:val="32"/>
          <w:szCs w:val="32"/>
        </w:rPr>
        <w:t>鼓励通过学科交叉等途径，拓宽学术视野，激发创新思维；专业学位研究生的培养要以提升职业能力为导向，完善以行业领域为导向的专业学位研究生教育发展机制，培育</w:t>
      </w:r>
      <w:r>
        <w:rPr>
          <w:rFonts w:hint="eastAsia" w:ascii="仿宋_GB2312" w:eastAsia="仿宋_GB2312"/>
          <w:sz w:val="32"/>
          <w:szCs w:val="32"/>
          <w:lang w:val="en-US" w:eastAsia="zh-CN"/>
        </w:rPr>
        <w:t>实干担当、勇于创造、</w:t>
      </w:r>
      <w:r>
        <w:rPr>
          <w:rFonts w:hint="eastAsia" w:ascii="仿宋_GB2312" w:eastAsia="仿宋_GB2312"/>
          <w:sz w:val="32"/>
          <w:szCs w:val="32"/>
        </w:rPr>
        <w:t>精益求精的精神，锻造行业精英，满足各行各业对高精尖专门人才的需求。</w:t>
      </w:r>
    </w:p>
    <w:p>
      <w:pPr>
        <w:numPr>
          <w:ilvl w:val="0"/>
          <w:numId w:val="0"/>
        </w:numPr>
        <w:spacing w:line="560" w:lineRule="exact"/>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val="en-US" w:eastAsia="zh-CN"/>
        </w:rPr>
        <w:t>（三）重点梳理</w:t>
      </w:r>
      <w:r>
        <w:rPr>
          <w:rFonts w:hint="eastAsia" w:ascii="仿宋_GB2312" w:eastAsia="仿宋_GB2312"/>
          <w:b/>
          <w:bCs/>
          <w:sz w:val="32"/>
          <w:szCs w:val="32"/>
        </w:rPr>
        <w:t>研究生课程体系</w:t>
      </w:r>
    </w:p>
    <w:p>
      <w:pPr>
        <w:numPr>
          <w:ilvl w:val="0"/>
          <w:numId w:val="0"/>
        </w:numPr>
        <w:spacing w:line="560" w:lineRule="exact"/>
        <w:ind w:firstLine="640" w:firstLineChars="200"/>
        <w:rPr>
          <w:rFonts w:hint="eastAsia" w:ascii="仿宋_GB2312" w:eastAsia="仿宋_GB2312"/>
          <w:b w:val="0"/>
          <w:bCs w:val="0"/>
          <w:sz w:val="32"/>
          <w:szCs w:val="32"/>
          <w:lang w:eastAsia="zh-CN"/>
        </w:rPr>
      </w:pPr>
      <w:r>
        <w:rPr>
          <w:rFonts w:hint="eastAsia" w:ascii="仿宋_GB2312" w:eastAsia="仿宋_GB2312"/>
          <w:color w:val="000000"/>
          <w:sz w:val="32"/>
          <w:szCs w:val="32"/>
          <w:lang w:eastAsia="zh-CN"/>
        </w:rPr>
        <w:t>对本学科、专业类别（领域）研究生课程体系进行全面梳理和优化，</w:t>
      </w:r>
      <w:r>
        <w:rPr>
          <w:rFonts w:hint="eastAsia" w:ascii="仿宋_GB2312" w:eastAsia="仿宋_GB2312"/>
          <w:color w:val="000000"/>
          <w:sz w:val="32"/>
          <w:szCs w:val="32"/>
        </w:rPr>
        <w:t>选择3个以上国内和国外同类高水平学科作为标杆，认真对比分析</w:t>
      </w:r>
      <w:r>
        <w:rPr>
          <w:rFonts w:hint="eastAsia" w:ascii="仿宋_GB2312" w:eastAsia="仿宋_GB2312"/>
          <w:color w:val="000000"/>
          <w:sz w:val="32"/>
          <w:szCs w:val="32"/>
          <w:lang w:eastAsia="zh-CN"/>
        </w:rPr>
        <w:t>，并根据我校特色制定相应的课程体系。所有列入</w:t>
      </w:r>
      <w:r>
        <w:rPr>
          <w:rFonts w:hint="eastAsia" w:ascii="仿宋_GB2312" w:eastAsia="仿宋_GB2312"/>
          <w:color w:val="000000"/>
          <w:sz w:val="32"/>
          <w:szCs w:val="32"/>
        </w:rPr>
        <w:t>研究生</w:t>
      </w:r>
      <w:r>
        <w:rPr>
          <w:rFonts w:hint="eastAsia" w:ascii="仿宋_GB2312" w:eastAsia="仿宋_GB2312"/>
          <w:sz w:val="32"/>
          <w:szCs w:val="32"/>
        </w:rPr>
        <w:t>培养方案的课程必须</w:t>
      </w:r>
      <w:r>
        <w:rPr>
          <w:rFonts w:hint="eastAsia" w:ascii="仿宋_GB2312" w:eastAsia="仿宋_GB2312"/>
          <w:b w:val="0"/>
          <w:bCs w:val="0"/>
          <w:sz w:val="32"/>
          <w:szCs w:val="32"/>
          <w:lang w:val="en-US" w:eastAsia="zh-CN"/>
        </w:rPr>
        <w:t>制定课程教学大纲，</w:t>
      </w:r>
      <w:r>
        <w:rPr>
          <w:rFonts w:hint="eastAsia" w:ascii="仿宋_GB2312" w:eastAsia="仿宋_GB2312"/>
          <w:b w:val="0"/>
          <w:bCs w:val="0"/>
          <w:sz w:val="32"/>
          <w:szCs w:val="32"/>
          <w:lang w:eastAsia="zh-CN"/>
        </w:rPr>
        <w:t>全英文课程必须有英文教学大纲</w:t>
      </w:r>
      <w:r>
        <w:rPr>
          <w:rFonts w:hint="eastAsia" w:ascii="仿宋_GB2312" w:eastAsia="仿宋_GB2312"/>
          <w:b w:val="0"/>
          <w:bCs w:val="0"/>
          <w:sz w:val="32"/>
          <w:szCs w:val="32"/>
        </w:rPr>
        <w:t>。</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 xml:space="preserve">1. </w:t>
      </w:r>
      <w:r>
        <w:rPr>
          <w:rFonts w:hint="eastAsia" w:ascii="仿宋_GB2312" w:eastAsia="仿宋_GB2312"/>
          <w:b/>
          <w:bCs/>
          <w:sz w:val="32"/>
          <w:szCs w:val="32"/>
          <w:lang w:eastAsia="zh-CN"/>
        </w:rPr>
        <w:t>课程类别。</w:t>
      </w:r>
      <w:r>
        <w:rPr>
          <w:rFonts w:hint="eastAsia" w:ascii="仿宋_GB2312" w:eastAsia="仿宋_GB2312"/>
          <w:sz w:val="32"/>
          <w:szCs w:val="32"/>
          <w:lang w:eastAsia="zh-CN"/>
        </w:rPr>
        <w:t>课程类别涵盖</w:t>
      </w:r>
      <w:r>
        <w:rPr>
          <w:rFonts w:hint="eastAsia" w:ascii="仿宋_GB2312" w:eastAsia="仿宋_GB2312"/>
          <w:color w:val="000000"/>
          <w:sz w:val="32"/>
          <w:szCs w:val="32"/>
          <w:lang w:eastAsia="zh-CN"/>
        </w:rPr>
        <w:t>公共学位课、学科基础课、专业课、选修课。公共学位课为思政课、外语类课程；学科基础课</w:t>
      </w:r>
      <w:r>
        <w:rPr>
          <w:rFonts w:hint="eastAsia" w:ascii="仿宋_GB2312" w:eastAsia="仿宋_GB2312"/>
          <w:color w:val="000000"/>
          <w:sz w:val="32"/>
          <w:szCs w:val="32"/>
        </w:rPr>
        <w:t>主要包括</w:t>
      </w:r>
      <w:r>
        <w:rPr>
          <w:rFonts w:hint="eastAsia" w:ascii="仿宋_GB2312" w:eastAsia="仿宋_GB2312"/>
          <w:color w:val="000000"/>
          <w:sz w:val="32"/>
          <w:szCs w:val="32"/>
          <w:lang w:eastAsia="zh-CN"/>
        </w:rPr>
        <w:t>数学类</w:t>
      </w:r>
      <w:r>
        <w:rPr>
          <w:rFonts w:hint="eastAsia" w:ascii="仿宋_GB2312" w:eastAsia="仿宋_GB2312"/>
          <w:color w:val="000000"/>
          <w:sz w:val="32"/>
          <w:szCs w:val="32"/>
        </w:rPr>
        <w:t>、</w:t>
      </w:r>
      <w:r>
        <w:rPr>
          <w:rFonts w:hint="eastAsia" w:ascii="仿宋_GB2312" w:eastAsia="仿宋_GB2312"/>
          <w:color w:val="000000"/>
          <w:sz w:val="32"/>
          <w:szCs w:val="32"/>
          <w:lang w:eastAsia="zh-CN"/>
        </w:rPr>
        <w:t>方法类、前沿类、学术论文指导与规范类以及</w:t>
      </w:r>
      <w:r>
        <w:rPr>
          <w:rFonts w:hint="eastAsia" w:ascii="仿宋_GB2312" w:eastAsia="仿宋_GB2312"/>
          <w:color w:val="000000"/>
          <w:sz w:val="32"/>
          <w:szCs w:val="32"/>
        </w:rPr>
        <w:t>学科或学科群平台课程</w:t>
      </w:r>
      <w:r>
        <w:rPr>
          <w:rFonts w:hint="eastAsia" w:ascii="仿宋_GB2312" w:eastAsia="仿宋_GB2312"/>
          <w:color w:val="000000"/>
          <w:sz w:val="32"/>
          <w:szCs w:val="32"/>
          <w:lang w:eastAsia="zh-CN"/>
        </w:rPr>
        <w:t>；专业课为基于学科主要研究方向的核心课程；</w:t>
      </w:r>
      <w:r>
        <w:rPr>
          <w:rFonts w:hint="eastAsia" w:ascii="仿宋_GB2312" w:eastAsia="仿宋_GB2312"/>
          <w:color w:val="000000"/>
          <w:sz w:val="32"/>
          <w:szCs w:val="32"/>
        </w:rPr>
        <w:t>选修课主要包括学科专业选修课、跨学科</w:t>
      </w:r>
      <w:r>
        <w:rPr>
          <w:rFonts w:hint="eastAsia" w:ascii="仿宋_GB2312" w:eastAsia="仿宋_GB2312"/>
          <w:color w:val="000000"/>
          <w:sz w:val="32"/>
          <w:szCs w:val="32"/>
          <w:lang w:eastAsia="zh-CN"/>
        </w:rPr>
        <w:t>课程以及</w:t>
      </w:r>
      <w:r>
        <w:rPr>
          <w:rFonts w:hint="eastAsia" w:ascii="仿宋_GB2312" w:eastAsia="仿宋_GB2312"/>
          <w:color w:val="000000"/>
          <w:sz w:val="32"/>
          <w:szCs w:val="32"/>
        </w:rPr>
        <w:t>创新创业、</w:t>
      </w:r>
      <w:r>
        <w:rPr>
          <w:rFonts w:hint="eastAsia" w:ascii="仿宋_GB2312" w:eastAsia="仿宋_GB2312"/>
          <w:color w:val="000000"/>
          <w:sz w:val="32"/>
          <w:szCs w:val="32"/>
          <w:lang w:eastAsia="zh-CN"/>
        </w:rPr>
        <w:t>人文素养、职业伦理</w:t>
      </w:r>
      <w:r>
        <w:rPr>
          <w:rFonts w:hint="eastAsia" w:ascii="仿宋_GB2312" w:eastAsia="仿宋_GB2312"/>
          <w:color w:val="000000"/>
          <w:sz w:val="32"/>
          <w:szCs w:val="32"/>
        </w:rPr>
        <w:t>等</w:t>
      </w:r>
      <w:r>
        <w:rPr>
          <w:rFonts w:hint="eastAsia" w:ascii="仿宋_GB2312" w:eastAsia="仿宋_GB2312"/>
          <w:sz w:val="32"/>
          <w:szCs w:val="32"/>
          <w:lang w:eastAsia="zh-CN"/>
        </w:rPr>
        <w:t>素养类</w:t>
      </w:r>
      <w:r>
        <w:rPr>
          <w:rFonts w:hint="eastAsia" w:ascii="仿宋_GB2312" w:eastAsia="仿宋_GB2312"/>
          <w:sz w:val="32"/>
          <w:szCs w:val="32"/>
        </w:rPr>
        <w:t>课程</w:t>
      </w:r>
      <w:r>
        <w:rPr>
          <w:rFonts w:hint="eastAsia" w:ascii="仿宋_GB2312" w:eastAsia="仿宋_GB2312"/>
          <w:sz w:val="32"/>
          <w:szCs w:val="32"/>
          <w:lang w:eastAsia="zh-CN"/>
        </w:rPr>
        <w:t>。</w:t>
      </w:r>
    </w:p>
    <w:p>
      <w:p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2. 课程体系优化。</w:t>
      </w:r>
      <w:r>
        <w:rPr>
          <w:rFonts w:hint="eastAsia" w:ascii="仿宋_GB2312" w:eastAsia="仿宋_GB2312"/>
          <w:sz w:val="32"/>
          <w:szCs w:val="32"/>
          <w:lang w:val="en-US" w:eastAsia="zh-CN"/>
        </w:rPr>
        <w:t>分</w:t>
      </w:r>
      <w:r>
        <w:rPr>
          <w:rFonts w:hint="eastAsia" w:ascii="仿宋_GB2312" w:eastAsia="仿宋_GB2312"/>
          <w:color w:val="000000"/>
          <w:sz w:val="32"/>
          <w:szCs w:val="32"/>
          <w:lang w:val="en-US" w:eastAsia="zh-CN"/>
        </w:rPr>
        <w:t>人文社科、理工科、医科三大类别规定课程数量上限要求以及</w:t>
      </w:r>
      <w:r>
        <w:rPr>
          <w:rFonts w:hint="eastAsia" w:ascii="仿宋_GB2312" w:eastAsia="仿宋_GB2312"/>
          <w:sz w:val="32"/>
          <w:szCs w:val="32"/>
          <w:lang w:val="en-US" w:eastAsia="zh-CN"/>
        </w:rPr>
        <w:t>课程学分基本要求，全国专业学位教育指导委员会有明确的指导性培养方案要求的，按教指委要求执行；充分考虑多数研究生选课需求，合并一些细分子方向的课程，避免课程内容重复、“因人设课”的问题；淘汰已不适应本学科研究生培养需要的课程，补充能够反映学科发展需要及学科前沿内容的课程，特别是各学科评议组制定的各学科核心课程。</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 xml:space="preserve">3. </w:t>
      </w:r>
      <w:r>
        <w:rPr>
          <w:rFonts w:hint="eastAsia" w:ascii="仿宋_GB2312" w:eastAsia="仿宋_GB2312"/>
          <w:b/>
          <w:bCs/>
          <w:sz w:val="32"/>
          <w:szCs w:val="32"/>
          <w:lang w:eastAsia="zh-CN"/>
        </w:rPr>
        <w:t>国际化课程及校企联合课程</w:t>
      </w:r>
      <w:r>
        <w:rPr>
          <w:rFonts w:hint="eastAsia" w:ascii="仿宋_GB2312" w:eastAsia="仿宋_GB2312"/>
          <w:sz w:val="32"/>
          <w:szCs w:val="32"/>
          <w:lang w:eastAsia="zh-CN"/>
        </w:rPr>
        <w:t>。</w:t>
      </w:r>
      <w:r>
        <w:rPr>
          <w:rFonts w:hint="eastAsia" w:ascii="仿宋_GB2312" w:eastAsia="仿宋_GB2312"/>
          <w:color w:val="000000"/>
          <w:sz w:val="32"/>
          <w:szCs w:val="32"/>
          <w:lang w:eastAsia="zh-CN"/>
        </w:rPr>
        <w:t>加强国际化课程建设，双一流建设学科</w:t>
      </w:r>
      <w:r>
        <w:rPr>
          <w:rFonts w:hint="eastAsia" w:ascii="仿宋_GB2312" w:eastAsia="仿宋_GB2312"/>
          <w:color w:val="000000"/>
          <w:sz w:val="32"/>
          <w:szCs w:val="32"/>
        </w:rPr>
        <w:t>至少开设</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门全英文课程，除少数</w:t>
      </w:r>
      <w:r>
        <w:rPr>
          <w:rFonts w:hint="eastAsia" w:ascii="仿宋_GB2312" w:eastAsia="仿宋_GB2312"/>
          <w:color w:val="000000"/>
          <w:sz w:val="32"/>
          <w:szCs w:val="32"/>
          <w:lang w:eastAsia="zh-CN"/>
        </w:rPr>
        <w:t>人文社科</w:t>
      </w:r>
      <w:r>
        <w:rPr>
          <w:rFonts w:hint="eastAsia" w:ascii="仿宋_GB2312" w:eastAsia="仿宋_GB2312"/>
          <w:color w:val="000000"/>
          <w:sz w:val="32"/>
          <w:szCs w:val="32"/>
        </w:rPr>
        <w:t>类学科，其他学科至少开设</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门全英文课程</w:t>
      </w:r>
      <w:r>
        <w:rPr>
          <w:rFonts w:hint="eastAsia" w:ascii="仿宋_GB2312" w:eastAsia="仿宋_GB2312"/>
          <w:color w:val="000000"/>
          <w:sz w:val="32"/>
          <w:szCs w:val="32"/>
          <w:lang w:eastAsia="zh-CN"/>
        </w:rPr>
        <w:t>；鼓励聘请企业专家开设专业学位硕士研究生校企联合课程。</w:t>
      </w:r>
    </w:p>
    <w:p>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（四）</w:t>
      </w:r>
      <w:r>
        <w:rPr>
          <w:rFonts w:hint="eastAsia" w:ascii="仿宋_GB2312" w:eastAsia="仿宋_GB2312"/>
          <w:b/>
          <w:bCs/>
          <w:sz w:val="32"/>
          <w:szCs w:val="32"/>
          <w:lang w:val="en-US" w:eastAsia="zh-CN"/>
        </w:rPr>
        <w:t>加强</w:t>
      </w:r>
      <w:r>
        <w:rPr>
          <w:rFonts w:hint="eastAsia" w:ascii="仿宋_GB2312" w:eastAsia="仿宋_GB2312"/>
          <w:b/>
          <w:bCs/>
          <w:sz w:val="32"/>
          <w:szCs w:val="32"/>
          <w:lang w:eastAsia="zh-CN"/>
        </w:rPr>
        <w:t>课程</w:t>
      </w:r>
      <w:r>
        <w:rPr>
          <w:rFonts w:hint="eastAsia" w:ascii="仿宋_GB2312" w:eastAsia="仿宋_GB2312"/>
          <w:b/>
          <w:bCs/>
          <w:sz w:val="32"/>
          <w:szCs w:val="32"/>
          <w:lang w:val="en-US" w:eastAsia="zh-CN"/>
        </w:rPr>
        <w:t>建设与</w:t>
      </w:r>
      <w:r>
        <w:rPr>
          <w:rFonts w:hint="eastAsia" w:ascii="仿宋_GB2312" w:eastAsia="仿宋_GB2312"/>
          <w:b/>
          <w:bCs/>
          <w:sz w:val="32"/>
          <w:szCs w:val="32"/>
          <w:lang w:eastAsia="zh-CN"/>
        </w:rPr>
        <w:t>教学改革</w:t>
      </w:r>
    </w:p>
    <w:p>
      <w:pPr>
        <w:spacing w:line="560" w:lineRule="exact"/>
        <w:ind w:firstLine="640" w:firstLineChars="200"/>
        <w:rPr>
          <w:rFonts w:hint="eastAsia" w:ascii="仿宋_GB2312" w:eastAsia="仿宋_GB2312"/>
          <w:sz w:val="32"/>
          <w:szCs w:val="32"/>
        </w:rPr>
      </w:pPr>
      <w:r>
        <w:rPr>
          <w:rFonts w:hint="eastAsia" w:ascii="仿宋_GB2312" w:eastAsia="仿宋_GB2312"/>
          <w:b w:val="0"/>
          <w:bCs w:val="0"/>
          <w:sz w:val="32"/>
          <w:szCs w:val="32"/>
          <w:lang w:eastAsia="zh-CN"/>
        </w:rPr>
        <w:t>强化研究生能力培养，鼓励利用“互联网+”、启发式、案例式等教学手段，</w:t>
      </w:r>
      <w:r>
        <w:rPr>
          <w:rFonts w:hint="eastAsia" w:ascii="仿宋_GB2312" w:eastAsia="仿宋_GB2312"/>
          <w:b w:val="0"/>
          <w:bCs w:val="0"/>
          <w:sz w:val="32"/>
          <w:szCs w:val="32"/>
          <w:lang w:val="en-US" w:eastAsia="zh-CN"/>
        </w:rPr>
        <w:t>积极建设在线课程、案例库、教材等课程资源</w:t>
      </w:r>
      <w:r>
        <w:rPr>
          <w:rFonts w:hint="eastAsia" w:ascii="仿宋_GB2312" w:eastAsia="仿宋_GB2312"/>
          <w:b w:val="0"/>
          <w:bCs w:val="0"/>
          <w:sz w:val="32"/>
          <w:szCs w:val="32"/>
          <w:lang w:eastAsia="zh-CN"/>
        </w:rPr>
        <w:t>。</w:t>
      </w:r>
    </w:p>
    <w:p>
      <w:pPr>
        <w:numPr>
          <w:ilvl w:val="0"/>
          <w:numId w:val="0"/>
        </w:num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（五）</w:t>
      </w:r>
      <w:r>
        <w:rPr>
          <w:rFonts w:hint="eastAsia" w:ascii="仿宋_GB2312" w:eastAsia="仿宋_GB2312"/>
          <w:b/>
          <w:bCs/>
          <w:sz w:val="32"/>
          <w:szCs w:val="32"/>
        </w:rPr>
        <w:t>优化培养过程</w:t>
      </w:r>
      <w:r>
        <w:rPr>
          <w:rFonts w:hint="eastAsia" w:ascii="仿宋_GB2312" w:eastAsia="仿宋_GB2312"/>
          <w:b/>
          <w:bCs/>
          <w:sz w:val="32"/>
          <w:szCs w:val="32"/>
          <w:lang w:eastAsia="zh-CN"/>
        </w:rPr>
        <w:t>管理</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Times New Roman" w:hAnsi="Times New Roman" w:eastAsia="仿宋_GB2312" w:cs="仿宋_GB2312"/>
          <w:kern w:val="2"/>
          <w:sz w:val="32"/>
          <w:szCs w:val="32"/>
          <w:lang w:val="en-US" w:eastAsia="zh-CN" w:bidi="ar"/>
        </w:rPr>
        <w:t>研究生培养环节主要包括课程学习、博士生资格考试、学位论文开题、中期考核、学术交流、年度考核、</w:t>
      </w:r>
      <w:r>
        <w:rPr>
          <w:rFonts w:hint="eastAsia" w:ascii="仿宋_GB2312" w:eastAsia="仿宋_GB2312"/>
          <w:sz w:val="32"/>
          <w:szCs w:val="32"/>
        </w:rPr>
        <w:t>科研训练、专业实践</w:t>
      </w:r>
      <w:r>
        <w:rPr>
          <w:rFonts w:hint="eastAsia" w:ascii="仿宋_GB2312" w:eastAsia="仿宋_GB2312"/>
          <w:sz w:val="32"/>
          <w:szCs w:val="32"/>
          <w:lang w:eastAsia="zh-CN"/>
        </w:rPr>
        <w:t>（</w:t>
      </w:r>
      <w:r>
        <w:rPr>
          <w:rFonts w:hint="eastAsia" w:ascii="仿宋_GB2312" w:eastAsia="仿宋_GB2312"/>
          <w:sz w:val="32"/>
          <w:szCs w:val="32"/>
          <w:lang w:val="en-US" w:eastAsia="zh-CN"/>
        </w:rPr>
        <w:t>硕士专业学位</w:t>
      </w:r>
      <w:r>
        <w:rPr>
          <w:rFonts w:hint="eastAsia" w:ascii="仿宋_GB2312" w:eastAsia="仿宋_GB2312"/>
          <w:sz w:val="32"/>
          <w:szCs w:val="32"/>
          <w:lang w:eastAsia="zh-CN"/>
        </w:rPr>
        <w:t>）</w:t>
      </w:r>
      <w:r>
        <w:rPr>
          <w:rFonts w:hint="eastAsia" w:ascii="仿宋_GB2312" w:eastAsia="仿宋_GB2312"/>
          <w:sz w:val="32"/>
          <w:szCs w:val="32"/>
        </w:rPr>
        <w:t>和社会实践</w:t>
      </w:r>
      <w:r>
        <w:rPr>
          <w:rFonts w:hint="eastAsia" w:ascii="Times New Roman" w:hAnsi="Times New Roman" w:eastAsia="仿宋_GB2312" w:cs="仿宋_GB2312"/>
          <w:kern w:val="2"/>
          <w:sz w:val="32"/>
          <w:szCs w:val="32"/>
          <w:lang w:val="en-US" w:eastAsia="zh-CN" w:bidi="ar"/>
        </w:rPr>
        <w:t>等</w:t>
      </w:r>
      <w:r>
        <w:rPr>
          <w:rFonts w:hint="eastAsia" w:ascii="仿宋_GB2312" w:eastAsia="仿宋_GB2312"/>
          <w:color w:val="000000"/>
          <w:sz w:val="32"/>
          <w:szCs w:val="32"/>
        </w:rPr>
        <w:t>，</w:t>
      </w:r>
      <w:r>
        <w:rPr>
          <w:rFonts w:hint="eastAsia" w:ascii="仿宋_GB2312" w:eastAsia="仿宋_GB2312"/>
          <w:color w:val="000000"/>
          <w:sz w:val="32"/>
          <w:szCs w:val="32"/>
          <w:lang w:eastAsia="zh-CN"/>
        </w:rPr>
        <w:t>本次培养方案修订新增</w:t>
      </w:r>
      <w:r>
        <w:rPr>
          <w:rFonts w:hint="eastAsia" w:ascii="仿宋_GB2312" w:eastAsia="仿宋_GB2312"/>
          <w:b w:val="0"/>
          <w:bCs w:val="0"/>
          <w:color w:val="000000"/>
          <w:sz w:val="32"/>
          <w:szCs w:val="32"/>
          <w:lang w:eastAsia="zh-CN"/>
        </w:rPr>
        <w:t>博士</w:t>
      </w:r>
      <w:r>
        <w:rPr>
          <w:rFonts w:hint="eastAsia" w:ascii="仿宋_GB2312" w:eastAsia="仿宋_GB2312"/>
          <w:b w:val="0"/>
          <w:bCs w:val="0"/>
          <w:sz w:val="32"/>
          <w:szCs w:val="32"/>
          <w:lang w:eastAsia="zh-CN"/>
        </w:rPr>
        <w:t>研究生</w:t>
      </w:r>
      <w:r>
        <w:rPr>
          <w:rFonts w:hint="eastAsia" w:ascii="仿宋_GB2312" w:eastAsia="仿宋_GB2312"/>
          <w:b w:val="0"/>
          <w:bCs w:val="0"/>
          <w:sz w:val="32"/>
          <w:szCs w:val="32"/>
        </w:rPr>
        <w:t>中期考核</w:t>
      </w:r>
      <w:r>
        <w:rPr>
          <w:rFonts w:hint="eastAsia" w:ascii="仿宋_GB2312" w:eastAsia="仿宋_GB2312"/>
          <w:b w:val="0"/>
          <w:bCs w:val="0"/>
          <w:sz w:val="32"/>
          <w:szCs w:val="32"/>
          <w:lang w:eastAsia="zh-CN"/>
        </w:rPr>
        <w:t>培养环节，</w:t>
      </w:r>
      <w:r>
        <w:rPr>
          <w:rFonts w:hint="eastAsia" w:ascii="Times New Roman" w:hAnsi="Times New Roman" w:eastAsia="仿宋_GB2312" w:cs="仿宋_GB2312"/>
          <w:kern w:val="2"/>
          <w:sz w:val="32"/>
          <w:szCs w:val="32"/>
          <w:lang w:val="en-US" w:eastAsia="zh-CN" w:bidi="ar"/>
        </w:rPr>
        <w:t>各学科专业根据需要可以增加硕士研究生中期考核培养环节。各单位需根据《中南大学研究生培养环节工作管理办法》制订培养环节考核实施细则</w:t>
      </w:r>
      <w:r>
        <w:rPr>
          <w:rFonts w:hint="eastAsia" w:ascii="仿宋_GB2312" w:eastAsia="仿宋_GB2312"/>
          <w:sz w:val="32"/>
          <w:szCs w:val="32"/>
          <w:lang w:eastAsia="zh-CN"/>
        </w:rPr>
        <w:t>，保证</w:t>
      </w:r>
      <w:r>
        <w:rPr>
          <w:rFonts w:hint="eastAsia" w:ascii="仿宋_GB2312" w:eastAsia="仿宋_GB2312"/>
          <w:color w:val="000000"/>
          <w:sz w:val="32"/>
          <w:szCs w:val="32"/>
        </w:rPr>
        <w:t>培养环节环环相扣、有序衔接</w:t>
      </w:r>
      <w:r>
        <w:rPr>
          <w:rFonts w:hint="eastAsia" w:ascii="仿宋_GB2312" w:eastAsia="仿宋_GB2312"/>
          <w:sz w:val="32"/>
          <w:szCs w:val="32"/>
        </w:rPr>
        <w:t>。</w:t>
      </w:r>
    </w:p>
    <w:p>
      <w:pPr>
        <w:spacing w:line="560" w:lineRule="exact"/>
        <w:ind w:firstLine="643" w:firstLineChars="200"/>
        <w:rPr>
          <w:rFonts w:hint="eastAsia" w:ascii="仿宋_GB2312" w:eastAsia="仿宋_GB2312"/>
          <w:sz w:val="32"/>
          <w:szCs w:val="32"/>
        </w:rPr>
      </w:pPr>
      <w:r>
        <w:rPr>
          <w:rFonts w:hint="eastAsia" w:ascii="仿宋_GB2312" w:eastAsia="仿宋_GB2312"/>
          <w:b/>
          <w:bCs/>
          <w:color w:val="000000"/>
          <w:sz w:val="32"/>
          <w:szCs w:val="32"/>
          <w:lang w:val="en-US" w:eastAsia="zh-CN"/>
        </w:rPr>
        <w:t>（六）</w:t>
      </w:r>
      <w:r>
        <w:rPr>
          <w:rFonts w:hint="eastAsia" w:ascii="仿宋_GB2312" w:eastAsia="仿宋_GB2312"/>
          <w:b/>
          <w:bCs/>
          <w:color w:val="000000"/>
          <w:sz w:val="32"/>
          <w:szCs w:val="32"/>
        </w:rPr>
        <w:t>满足个性化培养需求。</w:t>
      </w:r>
      <w:r>
        <w:rPr>
          <w:rFonts w:hint="eastAsia" w:ascii="仿宋_GB2312" w:eastAsia="仿宋_GB2312"/>
          <w:color w:val="000000"/>
          <w:sz w:val="32"/>
          <w:szCs w:val="32"/>
          <w:lang w:eastAsia="zh-CN"/>
        </w:rPr>
        <w:t>各学科、专业类别（领域）</w:t>
      </w:r>
      <w:r>
        <w:rPr>
          <w:rFonts w:hint="eastAsia" w:ascii="仿宋_GB2312" w:eastAsia="仿宋_GB2312"/>
          <w:sz w:val="32"/>
          <w:szCs w:val="32"/>
        </w:rPr>
        <w:t>培养方案在满足</w:t>
      </w:r>
      <w:r>
        <w:rPr>
          <w:rFonts w:hint="eastAsia" w:ascii="仿宋_GB2312" w:eastAsia="仿宋_GB2312"/>
          <w:sz w:val="32"/>
          <w:szCs w:val="32"/>
          <w:lang w:eastAsia="zh-CN"/>
        </w:rPr>
        <w:t>学校基本</w:t>
      </w:r>
      <w:r>
        <w:rPr>
          <w:rFonts w:hint="eastAsia" w:ascii="仿宋_GB2312" w:eastAsia="仿宋_GB2312"/>
          <w:sz w:val="32"/>
          <w:szCs w:val="32"/>
        </w:rPr>
        <w:t>要求的</w:t>
      </w:r>
      <w:r>
        <w:rPr>
          <w:rFonts w:hint="eastAsia" w:ascii="仿宋_GB2312" w:eastAsia="仿宋_GB2312"/>
          <w:sz w:val="32"/>
          <w:szCs w:val="32"/>
          <w:lang w:eastAsia="zh-CN"/>
        </w:rPr>
        <w:t>基础上</w:t>
      </w:r>
      <w:r>
        <w:rPr>
          <w:rFonts w:hint="eastAsia" w:ascii="仿宋_GB2312" w:eastAsia="仿宋_GB2312"/>
          <w:sz w:val="32"/>
          <w:szCs w:val="32"/>
        </w:rPr>
        <w:t>，根据</w:t>
      </w:r>
      <w:r>
        <w:rPr>
          <w:rFonts w:hint="eastAsia" w:ascii="仿宋_GB2312" w:eastAsia="仿宋_GB2312"/>
          <w:color w:val="000000"/>
          <w:sz w:val="32"/>
          <w:szCs w:val="32"/>
          <w:lang w:eastAsia="zh-CN"/>
        </w:rPr>
        <w:t>学科、专业类别（领域）</w:t>
      </w:r>
      <w:r>
        <w:rPr>
          <w:rFonts w:hint="eastAsia" w:ascii="仿宋_GB2312" w:eastAsia="仿宋_GB2312"/>
          <w:sz w:val="32"/>
          <w:szCs w:val="32"/>
        </w:rPr>
        <w:t>特点、发展目标要求，可对课程设置、培养环节要求和学分构成等进行灵活安排。</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三、基本内容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研究生培养方案应包括学科概况、研究方向、培养目标、学习年限、培养方式、课程设置与学分要求、培养环节</w:t>
      </w:r>
      <w:r>
        <w:rPr>
          <w:rFonts w:hint="eastAsia" w:ascii="仿宋_GB2312" w:eastAsia="仿宋_GB2312"/>
          <w:sz w:val="32"/>
          <w:szCs w:val="32"/>
          <w:lang w:eastAsia="zh-CN"/>
        </w:rPr>
        <w:t>、</w:t>
      </w:r>
      <w:r>
        <w:rPr>
          <w:rFonts w:hint="eastAsia" w:ascii="仿宋_GB2312" w:eastAsia="仿宋_GB2312"/>
          <w:sz w:val="32"/>
          <w:szCs w:val="32"/>
        </w:rPr>
        <w:t>学位论文与答辩要求等。</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四、修订范围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学术学位博士研究生培养方案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专业学位博士研究生培养方案</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直博生培养方案</w:t>
      </w:r>
      <w:r>
        <w:rPr>
          <w:rFonts w:hint="eastAsia" w:ascii="仿宋_GB2312" w:eastAsia="仿宋_GB2312"/>
          <w:sz w:val="32"/>
          <w:szCs w:val="32"/>
          <w:lang w:eastAsia="zh-CN"/>
        </w:rPr>
        <w:t>（兼顾</w:t>
      </w:r>
      <w:r>
        <w:rPr>
          <w:rFonts w:hint="eastAsia" w:ascii="仿宋_GB2312" w:eastAsia="仿宋_GB2312"/>
          <w:sz w:val="32"/>
          <w:szCs w:val="32"/>
          <w:lang w:val="en-US" w:eastAsia="zh-CN"/>
        </w:rPr>
        <w:t>“本-博”拔尖创新人才培养</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学术学位硕士研究生培养方案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全日制专业学位硕士研究生培养方案</w:t>
      </w:r>
    </w:p>
    <w:p>
      <w:pPr>
        <w:spacing w:line="560" w:lineRule="exact"/>
        <w:ind w:firstLine="640" w:firstLineChars="200"/>
        <w:rPr>
          <w:rFonts w:hint="eastAsia" w:ascii="仿宋_GB2312" w:eastAsia="仿宋_GB2312"/>
          <w:color w:val="548DD4"/>
          <w:sz w:val="32"/>
          <w:szCs w:val="32"/>
        </w:rPr>
      </w:pPr>
      <w:r>
        <w:rPr>
          <w:rFonts w:hint="eastAsia" w:ascii="仿宋_GB2312" w:eastAsia="仿宋_GB2312"/>
          <w:sz w:val="32"/>
          <w:szCs w:val="32"/>
          <w:lang w:eastAsia="zh-CN"/>
        </w:rPr>
        <w:t>（六）</w:t>
      </w:r>
      <w:r>
        <w:rPr>
          <w:rFonts w:hint="eastAsia" w:ascii="仿宋_GB2312" w:eastAsia="仿宋_GB2312"/>
          <w:color w:val="000000"/>
          <w:sz w:val="32"/>
          <w:szCs w:val="32"/>
        </w:rPr>
        <w:t>非全日制专业学位研究生培养方案（不招生不要求制定）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国际研究生培养方案（博士生、硕士生、学术学位、专业学位）</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五、工作组织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（一）组织机构</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二级培养单位是研究</w:t>
      </w:r>
      <w:r>
        <w:rPr>
          <w:rFonts w:hint="eastAsia" w:ascii="仿宋_GB2312" w:eastAsia="仿宋_GB2312"/>
          <w:sz w:val="32"/>
          <w:szCs w:val="32"/>
        </w:rPr>
        <w:t>生培养的责任主体</w:t>
      </w:r>
      <w:r>
        <w:rPr>
          <w:rFonts w:hint="eastAsia" w:ascii="仿宋_GB2312" w:eastAsia="仿宋_GB2312"/>
          <w:sz w:val="32"/>
          <w:szCs w:val="32"/>
          <w:lang w:eastAsia="zh-CN"/>
        </w:rPr>
        <w:t>，应</w:t>
      </w:r>
      <w:r>
        <w:rPr>
          <w:rFonts w:hint="eastAsia" w:ascii="仿宋_GB2312" w:eastAsia="仿宋_GB2312"/>
          <w:sz w:val="32"/>
          <w:szCs w:val="32"/>
        </w:rPr>
        <w:t>成立相应的领导、工作小组，统筹做好培养方案修订</w:t>
      </w:r>
      <w:r>
        <w:rPr>
          <w:rFonts w:hint="eastAsia" w:ascii="仿宋_GB2312" w:eastAsia="仿宋_GB2312"/>
          <w:color w:val="548DD4"/>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1.领导小组：各单位成立以党政正职负总责、研究生教育分管领导具体负责的</w:t>
      </w:r>
      <w:r>
        <w:rPr>
          <w:rFonts w:hint="eastAsia" w:ascii="仿宋_GB2312" w:eastAsia="仿宋_GB2312"/>
          <w:color w:val="000000"/>
          <w:sz w:val="32"/>
          <w:szCs w:val="32"/>
        </w:rPr>
        <w:t>领导机构</w:t>
      </w:r>
      <w:r>
        <w:rPr>
          <w:rFonts w:hint="eastAsia" w:ascii="仿宋_GB2312" w:eastAsia="仿宋_GB2312"/>
          <w:sz w:val="32"/>
          <w:szCs w:val="32"/>
        </w:rPr>
        <w:t>，统一规划和协调</w:t>
      </w:r>
      <w:r>
        <w:rPr>
          <w:rFonts w:hint="eastAsia" w:ascii="仿宋_GB2312" w:eastAsia="仿宋_GB2312"/>
          <w:color w:val="000000"/>
          <w:sz w:val="32"/>
          <w:szCs w:val="32"/>
        </w:rPr>
        <w:t>本院</w:t>
      </w:r>
      <w:r>
        <w:rPr>
          <w:rFonts w:hint="eastAsia" w:ascii="仿宋_GB2312" w:eastAsia="仿宋_GB2312"/>
          <w:sz w:val="32"/>
          <w:szCs w:val="32"/>
        </w:rPr>
        <w:t>修订工作。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.工作小组：学位点建设牵头单位按一级学科（专业学位类别）成立修订工作组，</w:t>
      </w:r>
      <w:r>
        <w:rPr>
          <w:rFonts w:hint="eastAsia" w:ascii="仿宋_GB2312" w:eastAsia="仿宋_GB2312"/>
          <w:sz w:val="32"/>
          <w:szCs w:val="32"/>
          <w:lang w:val="en-US" w:eastAsia="zh-CN"/>
        </w:rPr>
        <w:t>由学科负责人、学科方向负责人、学位评定分委员会委员、教授委员会委员</w:t>
      </w:r>
      <w:r>
        <w:rPr>
          <w:rFonts w:hint="eastAsia" w:ascii="仿宋_GB2312" w:eastAsia="仿宋_GB2312"/>
          <w:sz w:val="32"/>
          <w:szCs w:val="32"/>
          <w:lang w:eastAsia="zh-CN"/>
        </w:rPr>
        <w:t>、</w:t>
      </w:r>
      <w:r>
        <w:rPr>
          <w:rFonts w:hint="eastAsia" w:ascii="仿宋_GB2312" w:eastAsia="仿宋_GB2312"/>
          <w:sz w:val="32"/>
          <w:szCs w:val="32"/>
          <w:lang w:val="en-US" w:eastAsia="zh-CN"/>
        </w:rPr>
        <w:t>院系研究生教育负责人、研究生导师</w:t>
      </w:r>
      <w:r>
        <w:rPr>
          <w:rFonts w:hint="eastAsia" w:ascii="仿宋_GB2312" w:eastAsia="仿宋_GB2312"/>
          <w:sz w:val="32"/>
          <w:szCs w:val="32"/>
        </w:rPr>
        <w:t>代表</w:t>
      </w:r>
      <w:r>
        <w:rPr>
          <w:rFonts w:hint="eastAsia" w:ascii="仿宋_GB2312" w:eastAsia="仿宋_GB2312"/>
          <w:sz w:val="32"/>
          <w:szCs w:val="32"/>
          <w:lang w:val="en-US" w:eastAsia="zh-CN"/>
        </w:rPr>
        <w:t>等组成</w:t>
      </w:r>
      <w:r>
        <w:rPr>
          <w:rFonts w:hint="eastAsia" w:ascii="仿宋_GB2312" w:eastAsia="仿宋_GB2312"/>
          <w:sz w:val="32"/>
          <w:szCs w:val="32"/>
        </w:rPr>
        <w:t>，具体负责各培养方案修订工作。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（二）建立修订材料档案</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各单位应对修</w:t>
      </w:r>
      <w:r>
        <w:rPr>
          <w:rFonts w:hint="eastAsia" w:ascii="仿宋_GB2312" w:eastAsia="仿宋_GB2312"/>
          <w:sz w:val="32"/>
          <w:szCs w:val="32"/>
        </w:rPr>
        <w:t>订过程中的调研情况、会议情况、答辩审核情况等做好记录，建立材料档案并及时归档。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（三）学校统一组织答辩评审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学校组建专家评审组，对各单位提交的培养方案逐一进行答辩评审。答辩未通过者，要</w:t>
      </w:r>
      <w:r>
        <w:rPr>
          <w:rFonts w:hint="eastAsia" w:ascii="仿宋_GB2312" w:eastAsia="仿宋_GB2312"/>
          <w:color w:val="000000"/>
          <w:sz w:val="32"/>
          <w:szCs w:val="32"/>
        </w:rPr>
        <w:t>求学科返</w:t>
      </w:r>
      <w:r>
        <w:rPr>
          <w:rFonts w:hint="eastAsia" w:ascii="仿宋_GB2312" w:eastAsia="仿宋_GB2312"/>
          <w:sz w:val="32"/>
          <w:szCs w:val="32"/>
        </w:rPr>
        <w:t>回修改，限期重新申请答辩。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（四）校学</w:t>
      </w:r>
      <w:r>
        <w:rPr>
          <w:rFonts w:hint="eastAsia" w:ascii="仿宋_GB2312" w:eastAsia="仿宋_GB2312"/>
          <w:sz w:val="32"/>
          <w:szCs w:val="32"/>
          <w:lang w:eastAsia="zh-CN"/>
        </w:rPr>
        <w:t>位</w:t>
      </w:r>
      <w:r>
        <w:rPr>
          <w:rFonts w:hint="eastAsia" w:ascii="仿宋_GB2312" w:eastAsia="仿宋_GB2312"/>
          <w:sz w:val="32"/>
          <w:szCs w:val="32"/>
        </w:rPr>
        <w:t>委员会终审定稿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学校学位</w:t>
      </w:r>
      <w:r>
        <w:rPr>
          <w:rFonts w:hint="eastAsia" w:ascii="仿宋_GB2312" w:eastAsia="仿宋_GB2312"/>
          <w:sz w:val="32"/>
          <w:szCs w:val="32"/>
          <w:lang w:eastAsia="zh-CN"/>
        </w:rPr>
        <w:t>评定</w:t>
      </w:r>
      <w:r>
        <w:rPr>
          <w:rFonts w:hint="eastAsia" w:ascii="仿宋_GB2312" w:eastAsia="仿宋_GB2312"/>
          <w:sz w:val="32"/>
          <w:szCs w:val="32"/>
        </w:rPr>
        <w:t>委员会最终审定各学科（专业学位类别）培养方案。</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（五）</w:t>
      </w:r>
      <w:r>
        <w:rPr>
          <w:rFonts w:hint="eastAsia" w:ascii="仿宋_GB2312" w:eastAsia="仿宋_GB2312"/>
          <w:sz w:val="32"/>
          <w:szCs w:val="32"/>
          <w:lang w:eastAsia="zh-CN"/>
        </w:rPr>
        <w:t>监督与指导</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学校成立专门监督指导工作委员会，根据各单位修订日程安排，将安排专人前往各二级培养单位，全程跟踪、检查修订过程中各关键节点的</w:t>
      </w:r>
      <w:r>
        <w:rPr>
          <w:rFonts w:hint="eastAsia" w:ascii="仿宋_GB2312" w:eastAsia="仿宋_GB2312"/>
          <w:color w:val="000000"/>
          <w:sz w:val="32"/>
          <w:szCs w:val="32"/>
        </w:rPr>
        <w:t>落实</w:t>
      </w:r>
      <w:r>
        <w:rPr>
          <w:rFonts w:hint="eastAsia" w:ascii="仿宋_GB2312" w:eastAsia="仿宋_GB2312"/>
          <w:sz w:val="32"/>
          <w:szCs w:val="32"/>
        </w:rPr>
        <w:t>情况</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（六）具体时间安排</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1. 2019年7月，学校出台指导性意见。学校出台研究生培养方案修订指导意见，各二级单位成立组织机构并制定初步工作方案。【牵头单位：研究生院】</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 2019年9月下旬，完成调研及详细工作方案。各学科分别选择3个国内、国外一流学科为标杆，深入调研比较，征求用人单位、师生意见（含毕业生），发挥各自特色优势，形成培养方案修订调研报告，并在此基础上形成详细的工作方案。【牵头单位：各二级培养单位/学科专业】</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3. 2019年11月上旬，完成课程设置和教学大纲制定。工作组重新梳理课程体系，完成课程设置，组织编写完成各门课程教学大纲，并确定各门课程任课教师（团队）。【牵头单位：各二级培养单位/学科专业】</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4. 2019年11月下旬，完成培养方案修订（初稿）。工作组组织完成培养方案修订（初稿），学位分委员会审核课程设置和培养方案，报研究生院审核。【牵头单位：各二级培养单位/学科专业】</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5. 2019年12月，学校评审。学校组建专家组通过答辩逐一评审各方案，答辩未通过者，限期修改重新申请答辩，直至通过答辩为止。【牵头单位：研究生院】</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6. 2020年1月，学校审定，形成终稿。校学位委员会分组审定方案，发布施行。【牵头单位：研究生院】</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7. 2020年9月，从2020级研究生开始试用新培养方案。</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六、本次修订的研究生培养方案从2020年秋季入学研究生开始适用，版本号为2020版。</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60" w:lineRule="exact"/>
        <w:ind w:firstLine="640" w:firstLineChars="200"/>
        <w:jc w:val="right"/>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中南大学</w:t>
      </w:r>
    </w:p>
    <w:p>
      <w:pPr>
        <w:spacing w:line="560" w:lineRule="exact"/>
        <w:ind w:firstLine="640" w:firstLineChars="200"/>
        <w:jc w:val="right"/>
        <w:rPr>
          <w:rFonts w:hint="eastAsia" w:ascii="华文仿宋" w:hAnsi="华文仿宋" w:eastAsia="华文仿宋" w:cs="华文仿宋"/>
          <w:sz w:val="28"/>
          <w:szCs w:val="28"/>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 xml:space="preserve">日 </w:t>
      </w:r>
      <w:r>
        <w:rPr>
          <w:rFonts w:hint="eastAsia" w:ascii="华文仿宋" w:hAnsi="华文仿宋" w:eastAsia="华文仿宋" w:cs="华文仿宋"/>
          <w:sz w:val="28"/>
          <w:szCs w:val="28"/>
        </w:rPr>
        <w:t xml:space="preserve"> </w:t>
      </w:r>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434B2"/>
    <w:multiLevelType w:val="singleLevel"/>
    <w:tmpl w:val="F4B434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E3"/>
    <w:rsid w:val="00006223"/>
    <w:rsid w:val="0001061A"/>
    <w:rsid w:val="00027475"/>
    <w:rsid w:val="0003011B"/>
    <w:rsid w:val="000334B1"/>
    <w:rsid w:val="0004420F"/>
    <w:rsid w:val="00052AED"/>
    <w:rsid w:val="00056901"/>
    <w:rsid w:val="0006426C"/>
    <w:rsid w:val="000661C5"/>
    <w:rsid w:val="00072C38"/>
    <w:rsid w:val="00085C3B"/>
    <w:rsid w:val="00091644"/>
    <w:rsid w:val="000A2748"/>
    <w:rsid w:val="000A2C38"/>
    <w:rsid w:val="000A53B9"/>
    <w:rsid w:val="000A5908"/>
    <w:rsid w:val="000B1181"/>
    <w:rsid w:val="000B14E3"/>
    <w:rsid w:val="000B1D50"/>
    <w:rsid w:val="000B483C"/>
    <w:rsid w:val="000C05C8"/>
    <w:rsid w:val="000C1332"/>
    <w:rsid w:val="000D6D6D"/>
    <w:rsid w:val="000E1137"/>
    <w:rsid w:val="000E2C7B"/>
    <w:rsid w:val="000E2CDD"/>
    <w:rsid w:val="000E3D36"/>
    <w:rsid w:val="000F3DFE"/>
    <w:rsid w:val="000F51D7"/>
    <w:rsid w:val="00103065"/>
    <w:rsid w:val="00116685"/>
    <w:rsid w:val="00117C2B"/>
    <w:rsid w:val="00125342"/>
    <w:rsid w:val="00127E5F"/>
    <w:rsid w:val="00135162"/>
    <w:rsid w:val="00152DB3"/>
    <w:rsid w:val="00154CD7"/>
    <w:rsid w:val="00155315"/>
    <w:rsid w:val="00157448"/>
    <w:rsid w:val="00157DD6"/>
    <w:rsid w:val="00160D91"/>
    <w:rsid w:val="001713DB"/>
    <w:rsid w:val="00194610"/>
    <w:rsid w:val="001A14FF"/>
    <w:rsid w:val="001B4A1A"/>
    <w:rsid w:val="001B59C7"/>
    <w:rsid w:val="001B5F00"/>
    <w:rsid w:val="001C1AF6"/>
    <w:rsid w:val="001C49B1"/>
    <w:rsid w:val="001C77E4"/>
    <w:rsid w:val="001D76A7"/>
    <w:rsid w:val="001D7D95"/>
    <w:rsid w:val="001E101C"/>
    <w:rsid w:val="001E5868"/>
    <w:rsid w:val="001E586C"/>
    <w:rsid w:val="001E613A"/>
    <w:rsid w:val="001F6945"/>
    <w:rsid w:val="002015B8"/>
    <w:rsid w:val="00205B71"/>
    <w:rsid w:val="0020769F"/>
    <w:rsid w:val="00207E94"/>
    <w:rsid w:val="002137A8"/>
    <w:rsid w:val="00221EDC"/>
    <w:rsid w:val="00231B3B"/>
    <w:rsid w:val="002536C3"/>
    <w:rsid w:val="00266E47"/>
    <w:rsid w:val="00281D00"/>
    <w:rsid w:val="0028331F"/>
    <w:rsid w:val="00284560"/>
    <w:rsid w:val="00292053"/>
    <w:rsid w:val="0029658E"/>
    <w:rsid w:val="002A03A6"/>
    <w:rsid w:val="002A5A3D"/>
    <w:rsid w:val="002A6390"/>
    <w:rsid w:val="002A77FB"/>
    <w:rsid w:val="002C46F1"/>
    <w:rsid w:val="002C74CF"/>
    <w:rsid w:val="002D1B46"/>
    <w:rsid w:val="002D4AFA"/>
    <w:rsid w:val="002D60A9"/>
    <w:rsid w:val="002F3E74"/>
    <w:rsid w:val="003045D7"/>
    <w:rsid w:val="0030741A"/>
    <w:rsid w:val="00317AB0"/>
    <w:rsid w:val="003217DE"/>
    <w:rsid w:val="003222FA"/>
    <w:rsid w:val="00335F66"/>
    <w:rsid w:val="00341842"/>
    <w:rsid w:val="003422D5"/>
    <w:rsid w:val="003422F4"/>
    <w:rsid w:val="003635E9"/>
    <w:rsid w:val="003648EA"/>
    <w:rsid w:val="00376FD2"/>
    <w:rsid w:val="003938EA"/>
    <w:rsid w:val="00396B35"/>
    <w:rsid w:val="003B0DE5"/>
    <w:rsid w:val="003C0AAE"/>
    <w:rsid w:val="003C11F4"/>
    <w:rsid w:val="003C62CF"/>
    <w:rsid w:val="003D0C08"/>
    <w:rsid w:val="003D0D81"/>
    <w:rsid w:val="003D1F1A"/>
    <w:rsid w:val="003D6BCB"/>
    <w:rsid w:val="003D762A"/>
    <w:rsid w:val="003E035F"/>
    <w:rsid w:val="003F5500"/>
    <w:rsid w:val="003F5A4A"/>
    <w:rsid w:val="0040292C"/>
    <w:rsid w:val="0041019C"/>
    <w:rsid w:val="00416A52"/>
    <w:rsid w:val="004232AF"/>
    <w:rsid w:val="004342C6"/>
    <w:rsid w:val="00440CAC"/>
    <w:rsid w:val="00442250"/>
    <w:rsid w:val="00446FDE"/>
    <w:rsid w:val="0045297B"/>
    <w:rsid w:val="00460504"/>
    <w:rsid w:val="00474E11"/>
    <w:rsid w:val="004822DE"/>
    <w:rsid w:val="004A1ED2"/>
    <w:rsid w:val="004A3AEF"/>
    <w:rsid w:val="004B5497"/>
    <w:rsid w:val="004C48B1"/>
    <w:rsid w:val="004D1605"/>
    <w:rsid w:val="004E1304"/>
    <w:rsid w:val="004E59B1"/>
    <w:rsid w:val="00502DA0"/>
    <w:rsid w:val="005063F7"/>
    <w:rsid w:val="0050686F"/>
    <w:rsid w:val="005177CC"/>
    <w:rsid w:val="005238D2"/>
    <w:rsid w:val="00541B28"/>
    <w:rsid w:val="00543E4B"/>
    <w:rsid w:val="00552076"/>
    <w:rsid w:val="0055382A"/>
    <w:rsid w:val="0055532B"/>
    <w:rsid w:val="005720B6"/>
    <w:rsid w:val="005A265B"/>
    <w:rsid w:val="005A729D"/>
    <w:rsid w:val="005C4734"/>
    <w:rsid w:val="005D1A07"/>
    <w:rsid w:val="005D43B7"/>
    <w:rsid w:val="005E0DBF"/>
    <w:rsid w:val="005E39EE"/>
    <w:rsid w:val="005E6D1F"/>
    <w:rsid w:val="005F0C13"/>
    <w:rsid w:val="005F371B"/>
    <w:rsid w:val="005F3774"/>
    <w:rsid w:val="00607550"/>
    <w:rsid w:val="00636E7B"/>
    <w:rsid w:val="00643210"/>
    <w:rsid w:val="006453C4"/>
    <w:rsid w:val="0065036D"/>
    <w:rsid w:val="00655B85"/>
    <w:rsid w:val="00664805"/>
    <w:rsid w:val="00672118"/>
    <w:rsid w:val="006778B5"/>
    <w:rsid w:val="00690306"/>
    <w:rsid w:val="0069118F"/>
    <w:rsid w:val="006A4951"/>
    <w:rsid w:val="006B6B02"/>
    <w:rsid w:val="006C5EFB"/>
    <w:rsid w:val="006D4294"/>
    <w:rsid w:val="006D7373"/>
    <w:rsid w:val="006E5735"/>
    <w:rsid w:val="00712FFC"/>
    <w:rsid w:val="00714238"/>
    <w:rsid w:val="00725482"/>
    <w:rsid w:val="00725BE5"/>
    <w:rsid w:val="00735C5D"/>
    <w:rsid w:val="00736125"/>
    <w:rsid w:val="007362FD"/>
    <w:rsid w:val="00737FB6"/>
    <w:rsid w:val="00757873"/>
    <w:rsid w:val="00761F57"/>
    <w:rsid w:val="00767A88"/>
    <w:rsid w:val="007909D0"/>
    <w:rsid w:val="00791D20"/>
    <w:rsid w:val="007958F8"/>
    <w:rsid w:val="007B323F"/>
    <w:rsid w:val="007C40B2"/>
    <w:rsid w:val="007D00F1"/>
    <w:rsid w:val="007D34E3"/>
    <w:rsid w:val="007E6C6D"/>
    <w:rsid w:val="007F1C52"/>
    <w:rsid w:val="007F2F73"/>
    <w:rsid w:val="007F664C"/>
    <w:rsid w:val="007F7FD3"/>
    <w:rsid w:val="008009D9"/>
    <w:rsid w:val="008030C6"/>
    <w:rsid w:val="00817572"/>
    <w:rsid w:val="00817D70"/>
    <w:rsid w:val="008276C4"/>
    <w:rsid w:val="00832017"/>
    <w:rsid w:val="008331F4"/>
    <w:rsid w:val="00850CA0"/>
    <w:rsid w:val="0087127E"/>
    <w:rsid w:val="00881305"/>
    <w:rsid w:val="0088147A"/>
    <w:rsid w:val="00882681"/>
    <w:rsid w:val="008A1393"/>
    <w:rsid w:val="008B02CE"/>
    <w:rsid w:val="008B16B8"/>
    <w:rsid w:val="008B3AA7"/>
    <w:rsid w:val="008B42C2"/>
    <w:rsid w:val="008B5B3E"/>
    <w:rsid w:val="008C0543"/>
    <w:rsid w:val="008C708B"/>
    <w:rsid w:val="008D1636"/>
    <w:rsid w:val="008E3F63"/>
    <w:rsid w:val="008E45C5"/>
    <w:rsid w:val="008E728D"/>
    <w:rsid w:val="008F4F26"/>
    <w:rsid w:val="008F7601"/>
    <w:rsid w:val="00902FB0"/>
    <w:rsid w:val="00914342"/>
    <w:rsid w:val="009311BA"/>
    <w:rsid w:val="009734CB"/>
    <w:rsid w:val="0098109C"/>
    <w:rsid w:val="009A1C5E"/>
    <w:rsid w:val="009B6CF7"/>
    <w:rsid w:val="009C59DF"/>
    <w:rsid w:val="009E34C3"/>
    <w:rsid w:val="009E79A8"/>
    <w:rsid w:val="009F1F35"/>
    <w:rsid w:val="00A02B4A"/>
    <w:rsid w:val="00A035D3"/>
    <w:rsid w:val="00A04A54"/>
    <w:rsid w:val="00A05A87"/>
    <w:rsid w:val="00A2312C"/>
    <w:rsid w:val="00A240DF"/>
    <w:rsid w:val="00A25297"/>
    <w:rsid w:val="00A27486"/>
    <w:rsid w:val="00A50EA7"/>
    <w:rsid w:val="00A63DB7"/>
    <w:rsid w:val="00A642C2"/>
    <w:rsid w:val="00A6708F"/>
    <w:rsid w:val="00A73866"/>
    <w:rsid w:val="00A75A36"/>
    <w:rsid w:val="00A812A3"/>
    <w:rsid w:val="00A9578F"/>
    <w:rsid w:val="00A95FB5"/>
    <w:rsid w:val="00AA59A2"/>
    <w:rsid w:val="00AA677A"/>
    <w:rsid w:val="00AB1905"/>
    <w:rsid w:val="00AB62FC"/>
    <w:rsid w:val="00AE5BBB"/>
    <w:rsid w:val="00AF3682"/>
    <w:rsid w:val="00B05E83"/>
    <w:rsid w:val="00B16D43"/>
    <w:rsid w:val="00B40B99"/>
    <w:rsid w:val="00B4635C"/>
    <w:rsid w:val="00B52825"/>
    <w:rsid w:val="00B56E9C"/>
    <w:rsid w:val="00B642FF"/>
    <w:rsid w:val="00B64D04"/>
    <w:rsid w:val="00B6739F"/>
    <w:rsid w:val="00B7226A"/>
    <w:rsid w:val="00B770EC"/>
    <w:rsid w:val="00B862A0"/>
    <w:rsid w:val="00B87D5F"/>
    <w:rsid w:val="00B95D0C"/>
    <w:rsid w:val="00BA229E"/>
    <w:rsid w:val="00BB2DF4"/>
    <w:rsid w:val="00BD7225"/>
    <w:rsid w:val="00BD7D2F"/>
    <w:rsid w:val="00BE17C0"/>
    <w:rsid w:val="00BE5721"/>
    <w:rsid w:val="00BE6A84"/>
    <w:rsid w:val="00BF45DD"/>
    <w:rsid w:val="00BF53D3"/>
    <w:rsid w:val="00C00B8D"/>
    <w:rsid w:val="00C04651"/>
    <w:rsid w:val="00C131BE"/>
    <w:rsid w:val="00C14FE4"/>
    <w:rsid w:val="00C15647"/>
    <w:rsid w:val="00C17DA4"/>
    <w:rsid w:val="00C20256"/>
    <w:rsid w:val="00C275C0"/>
    <w:rsid w:val="00C27EC0"/>
    <w:rsid w:val="00C3078E"/>
    <w:rsid w:val="00C41F5D"/>
    <w:rsid w:val="00C52060"/>
    <w:rsid w:val="00C56A25"/>
    <w:rsid w:val="00C6501F"/>
    <w:rsid w:val="00C717BB"/>
    <w:rsid w:val="00C7569B"/>
    <w:rsid w:val="00C87666"/>
    <w:rsid w:val="00C917A7"/>
    <w:rsid w:val="00C91D83"/>
    <w:rsid w:val="00CA1DD8"/>
    <w:rsid w:val="00CC0A16"/>
    <w:rsid w:val="00CC7750"/>
    <w:rsid w:val="00CC7907"/>
    <w:rsid w:val="00CC7DB6"/>
    <w:rsid w:val="00CD00A2"/>
    <w:rsid w:val="00CD6AEB"/>
    <w:rsid w:val="00CF47E7"/>
    <w:rsid w:val="00D041D0"/>
    <w:rsid w:val="00D10D98"/>
    <w:rsid w:val="00D20FE2"/>
    <w:rsid w:val="00D221AA"/>
    <w:rsid w:val="00D30752"/>
    <w:rsid w:val="00D3144A"/>
    <w:rsid w:val="00D41212"/>
    <w:rsid w:val="00D452F7"/>
    <w:rsid w:val="00D46B1F"/>
    <w:rsid w:val="00D46C05"/>
    <w:rsid w:val="00D53904"/>
    <w:rsid w:val="00D5733C"/>
    <w:rsid w:val="00D67F66"/>
    <w:rsid w:val="00D840BD"/>
    <w:rsid w:val="00DA7150"/>
    <w:rsid w:val="00DB4514"/>
    <w:rsid w:val="00DC068C"/>
    <w:rsid w:val="00DC2FCC"/>
    <w:rsid w:val="00DC449B"/>
    <w:rsid w:val="00DC5349"/>
    <w:rsid w:val="00DE30A5"/>
    <w:rsid w:val="00E102A9"/>
    <w:rsid w:val="00E12E89"/>
    <w:rsid w:val="00E22D2D"/>
    <w:rsid w:val="00E358BD"/>
    <w:rsid w:val="00E53057"/>
    <w:rsid w:val="00E55CF1"/>
    <w:rsid w:val="00E6319D"/>
    <w:rsid w:val="00E7789B"/>
    <w:rsid w:val="00EB1FEB"/>
    <w:rsid w:val="00EB73AD"/>
    <w:rsid w:val="00EC38E4"/>
    <w:rsid w:val="00EC7F1C"/>
    <w:rsid w:val="00ED7FD2"/>
    <w:rsid w:val="00EE1763"/>
    <w:rsid w:val="00EE78F1"/>
    <w:rsid w:val="00EF16C4"/>
    <w:rsid w:val="00EF2B55"/>
    <w:rsid w:val="00EF4005"/>
    <w:rsid w:val="00EF522D"/>
    <w:rsid w:val="00EF6C44"/>
    <w:rsid w:val="00EF7B19"/>
    <w:rsid w:val="00F2127D"/>
    <w:rsid w:val="00F223A6"/>
    <w:rsid w:val="00F23CC2"/>
    <w:rsid w:val="00F40526"/>
    <w:rsid w:val="00F43455"/>
    <w:rsid w:val="00F4668F"/>
    <w:rsid w:val="00F56C7B"/>
    <w:rsid w:val="00F61665"/>
    <w:rsid w:val="00F61C06"/>
    <w:rsid w:val="00F628FF"/>
    <w:rsid w:val="00F73B69"/>
    <w:rsid w:val="00F74690"/>
    <w:rsid w:val="00F822BD"/>
    <w:rsid w:val="00F927E6"/>
    <w:rsid w:val="00F94B2E"/>
    <w:rsid w:val="00FA02F5"/>
    <w:rsid w:val="00FB24D0"/>
    <w:rsid w:val="00FB3C6D"/>
    <w:rsid w:val="00FD75C8"/>
    <w:rsid w:val="00FF3F9B"/>
    <w:rsid w:val="016739DD"/>
    <w:rsid w:val="017F48A0"/>
    <w:rsid w:val="0530597B"/>
    <w:rsid w:val="05EC325F"/>
    <w:rsid w:val="07934F19"/>
    <w:rsid w:val="0C602144"/>
    <w:rsid w:val="0FA4159A"/>
    <w:rsid w:val="11A26FD3"/>
    <w:rsid w:val="11FD6294"/>
    <w:rsid w:val="124B0E6C"/>
    <w:rsid w:val="14A558D3"/>
    <w:rsid w:val="1544407F"/>
    <w:rsid w:val="154B615A"/>
    <w:rsid w:val="16C31829"/>
    <w:rsid w:val="17B04F05"/>
    <w:rsid w:val="18F32B76"/>
    <w:rsid w:val="1B283F1F"/>
    <w:rsid w:val="1C273DCF"/>
    <w:rsid w:val="1CAB5691"/>
    <w:rsid w:val="1ED77AB9"/>
    <w:rsid w:val="1EE858C7"/>
    <w:rsid w:val="1F512A4C"/>
    <w:rsid w:val="22045559"/>
    <w:rsid w:val="22520B2B"/>
    <w:rsid w:val="227E105A"/>
    <w:rsid w:val="230D6942"/>
    <w:rsid w:val="250C3D39"/>
    <w:rsid w:val="258F36CC"/>
    <w:rsid w:val="269E5629"/>
    <w:rsid w:val="27E13119"/>
    <w:rsid w:val="294B41A7"/>
    <w:rsid w:val="29902097"/>
    <w:rsid w:val="2C22045C"/>
    <w:rsid w:val="2DD34FCB"/>
    <w:rsid w:val="2EAF108A"/>
    <w:rsid w:val="300C2E28"/>
    <w:rsid w:val="328E3431"/>
    <w:rsid w:val="3460324D"/>
    <w:rsid w:val="36535A0F"/>
    <w:rsid w:val="3722085E"/>
    <w:rsid w:val="373D655B"/>
    <w:rsid w:val="39AE17E9"/>
    <w:rsid w:val="3B134A97"/>
    <w:rsid w:val="3C7E23C2"/>
    <w:rsid w:val="3C8F656D"/>
    <w:rsid w:val="3D932E58"/>
    <w:rsid w:val="3F99735B"/>
    <w:rsid w:val="419B2E85"/>
    <w:rsid w:val="486C03E2"/>
    <w:rsid w:val="494401EF"/>
    <w:rsid w:val="49AE12AB"/>
    <w:rsid w:val="4AF3528D"/>
    <w:rsid w:val="4BB363D7"/>
    <w:rsid w:val="4BEF1B58"/>
    <w:rsid w:val="4DE30EDD"/>
    <w:rsid w:val="4E2D1E7F"/>
    <w:rsid w:val="54455F52"/>
    <w:rsid w:val="576A0FC7"/>
    <w:rsid w:val="57795CB2"/>
    <w:rsid w:val="5AF84E7E"/>
    <w:rsid w:val="5C996EB1"/>
    <w:rsid w:val="5D7D6DD9"/>
    <w:rsid w:val="5E870530"/>
    <w:rsid w:val="624F12D0"/>
    <w:rsid w:val="672176E3"/>
    <w:rsid w:val="67C07C8C"/>
    <w:rsid w:val="6819645B"/>
    <w:rsid w:val="68AB1A9D"/>
    <w:rsid w:val="69B5670C"/>
    <w:rsid w:val="6AC40C1D"/>
    <w:rsid w:val="6AF4065D"/>
    <w:rsid w:val="732A25DB"/>
    <w:rsid w:val="73343EE6"/>
    <w:rsid w:val="733F5869"/>
    <w:rsid w:val="73C14310"/>
    <w:rsid w:val="75427F7B"/>
    <w:rsid w:val="756755B0"/>
    <w:rsid w:val="763F56FF"/>
    <w:rsid w:val="76440168"/>
    <w:rsid w:val="76D32C07"/>
    <w:rsid w:val="78BC11CD"/>
    <w:rsid w:val="791F7D1D"/>
    <w:rsid w:val="7C227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418</Words>
  <Characters>2385</Characters>
  <Lines>19</Lines>
  <Paragraphs>5</Paragraphs>
  <TotalTime>2</TotalTime>
  <ScaleCrop>false</ScaleCrop>
  <LinksUpToDate>false</LinksUpToDate>
  <CharactersWithSpaces>2798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2012-11-19T07:11:00Z</dcterms:created>
  <dc:creator>CN=宋招权/O=zndx</dc:creator>
  <cp:lastModifiedBy>谢日安</cp:lastModifiedBy>
  <cp:lastPrinted>2012-11-22T00:45:00Z</cp:lastPrinted>
  <dcterms:modified xsi:type="dcterms:W3CDTF">2019-07-10T02:04:32Z</dcterms:modified>
  <cp:revision>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